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B8" w:rsidRPr="00935CFA" w:rsidRDefault="004D16B8" w:rsidP="0024008B">
      <w:pPr>
        <w:pStyle w:val="Heading1"/>
        <w:spacing w:before="0" w:line="240" w:lineRule="auto"/>
        <w:ind w:left="360" w:right="432"/>
        <w:rPr>
          <w:rFonts w:ascii="Gotham Light" w:hAnsi="Gotham Light"/>
          <w:color w:val="004600"/>
          <w:sz w:val="24"/>
          <w:szCs w:val="24"/>
        </w:rPr>
      </w:pPr>
      <w:r w:rsidRPr="00935CFA">
        <w:rPr>
          <w:rFonts w:ascii="Gotham Light" w:hAnsi="Gotham Light"/>
          <w:color w:val="004600"/>
          <w:sz w:val="24"/>
          <w:szCs w:val="24"/>
        </w:rPr>
        <w:t xml:space="preserve">New Data </w:t>
      </w:r>
    </w:p>
    <w:p w:rsidR="004D16B8" w:rsidRPr="00935CFA" w:rsidRDefault="004D16B8" w:rsidP="0024008B">
      <w:pPr>
        <w:pStyle w:val="Heading1"/>
        <w:spacing w:before="0" w:line="240" w:lineRule="auto"/>
        <w:ind w:left="360" w:right="432"/>
        <w:rPr>
          <w:rFonts w:ascii="Gotham Light" w:hAnsi="Gotham Light"/>
          <w:color w:val="004600"/>
          <w:sz w:val="24"/>
          <w:szCs w:val="24"/>
        </w:rPr>
      </w:pPr>
      <w:smartTag w:uri="urn:schemas-microsoft-com:office:smarttags" w:element="State">
        <w:smartTag w:uri="urn:schemas-microsoft-com:office:smarttags" w:element="place">
          <w:r w:rsidRPr="00935CFA">
            <w:rPr>
              <w:rFonts w:ascii="Gotham Light" w:hAnsi="Gotham Light"/>
              <w:color w:val="004600"/>
              <w:sz w:val="24"/>
              <w:szCs w:val="24"/>
            </w:rPr>
            <w:t>California</w:t>
          </w:r>
        </w:smartTag>
      </w:smartTag>
      <w:r w:rsidRPr="00935CFA">
        <w:rPr>
          <w:rFonts w:ascii="Gotham Light" w:hAnsi="Gotham Light"/>
          <w:color w:val="004600"/>
          <w:sz w:val="24"/>
          <w:szCs w:val="24"/>
        </w:rPr>
        <w:t xml:space="preserve"> Foster Youth: On the Path to Irresistible Information</w:t>
      </w:r>
    </w:p>
    <w:p w:rsidR="004D16B8" w:rsidRPr="004538A7" w:rsidRDefault="004D16B8" w:rsidP="00433FC8">
      <w:pPr>
        <w:pStyle w:val="NoSpacing"/>
        <w:ind w:left="360" w:right="432"/>
        <w:rPr>
          <w:rFonts w:ascii="Arial" w:hAnsi="Arial" w:cs="Arial"/>
          <w:i/>
          <w:sz w:val="21"/>
          <w:szCs w:val="21"/>
        </w:rPr>
      </w:pPr>
      <w:r w:rsidRPr="004538A7">
        <w:rPr>
          <w:rFonts w:ascii="Arial" w:hAnsi="Arial" w:cs="Arial"/>
          <w:i/>
          <w:sz w:val="21"/>
          <w:szCs w:val="21"/>
        </w:rPr>
        <w:t>September 2010</w:t>
      </w:r>
    </w:p>
    <w:p w:rsidR="004D16B8" w:rsidRDefault="004D16B8" w:rsidP="00433FC8">
      <w:pPr>
        <w:pStyle w:val="NoSpacing"/>
        <w:ind w:left="360" w:right="432"/>
      </w:pPr>
    </w:p>
    <w:p w:rsidR="004D16B8" w:rsidRPr="00BA6F42" w:rsidRDefault="004D16B8" w:rsidP="0024008B">
      <w:pPr>
        <w:tabs>
          <w:tab w:val="left" w:pos="4950"/>
        </w:tabs>
        <w:ind w:left="360" w:right="432"/>
        <w:rPr>
          <w:rFonts w:ascii="Arial" w:hAnsi="Arial" w:cs="Arial"/>
          <w:sz w:val="21"/>
          <w:szCs w:val="21"/>
        </w:rPr>
      </w:pPr>
      <w:r w:rsidRPr="00BA6F42">
        <w:rPr>
          <w:rFonts w:ascii="Arial" w:hAnsi="Arial" w:cs="Arial"/>
          <w:sz w:val="21"/>
          <w:szCs w:val="21"/>
        </w:rPr>
        <w:t xml:space="preserve">With funding from The Stuart Foundation, the California Partnership for Achieving Student Success (Cal-PASS) partnered with researchers at </w:t>
      </w:r>
      <w:smartTag w:uri="urn:schemas-microsoft-com:office:smarttags" w:element="PlaceType">
        <w:r w:rsidRPr="00BA6F42">
          <w:rPr>
            <w:rFonts w:ascii="Arial" w:hAnsi="Arial" w:cs="Arial"/>
            <w:sz w:val="21"/>
            <w:szCs w:val="21"/>
          </w:rPr>
          <w:t>University</w:t>
        </w:r>
      </w:smartTag>
      <w:r w:rsidRPr="00BA6F42">
        <w:rPr>
          <w:rFonts w:ascii="Arial" w:hAnsi="Arial" w:cs="Arial"/>
          <w:sz w:val="21"/>
          <w:szCs w:val="21"/>
        </w:rPr>
        <w:t xml:space="preserve"> of </w:t>
      </w:r>
      <w:smartTag w:uri="urn:schemas-microsoft-com:office:smarttags" w:element="PlaceType">
        <w:r w:rsidRPr="00BA6F42">
          <w:rPr>
            <w:rFonts w:ascii="Arial" w:hAnsi="Arial" w:cs="Arial"/>
            <w:sz w:val="21"/>
            <w:szCs w:val="21"/>
          </w:rPr>
          <w:t>California</w:t>
        </w:r>
      </w:smartTag>
      <w:r w:rsidRPr="00BA6F42">
        <w:rPr>
          <w:rFonts w:ascii="Arial" w:hAnsi="Arial" w:cs="Arial"/>
          <w:sz w:val="21"/>
          <w:szCs w:val="21"/>
        </w:rPr>
        <w:t xml:space="preserve">, </w:t>
      </w:r>
      <w:smartTag w:uri="urn:schemas-microsoft-com:office:smarttags" w:element="PlaceType">
        <w:r w:rsidRPr="00BA6F42">
          <w:rPr>
            <w:rFonts w:ascii="Arial" w:hAnsi="Arial" w:cs="Arial"/>
            <w:sz w:val="21"/>
            <w:szCs w:val="21"/>
          </w:rPr>
          <w:t>Berkeley</w:t>
        </w:r>
      </w:smartTag>
      <w:r w:rsidRPr="00BA6F42">
        <w:rPr>
          <w:rFonts w:ascii="Arial" w:hAnsi="Arial" w:cs="Arial"/>
          <w:sz w:val="21"/>
          <w:szCs w:val="21"/>
        </w:rPr>
        <w:t xml:space="preserve"> to link data from the California Child Welfare Services/Case Management System (CWS/CMS) with education data. The successful pilot project, entitled </w:t>
      </w:r>
      <w:r w:rsidRPr="00BA6F42">
        <w:rPr>
          <w:rFonts w:ascii="Arial" w:hAnsi="Arial" w:cs="Arial"/>
          <w:i/>
          <w:sz w:val="21"/>
          <w:szCs w:val="21"/>
        </w:rPr>
        <w:t>Investigating California Foster Youth High School &amp; College Education Outcomes</w:t>
      </w:r>
      <w:r w:rsidRPr="00BA6F42">
        <w:rPr>
          <w:rFonts w:ascii="Arial" w:hAnsi="Arial" w:cs="Arial"/>
          <w:sz w:val="21"/>
          <w:szCs w:val="21"/>
        </w:rPr>
        <w:t xml:space="preserve">, included four </w:t>
      </w:r>
      <w:smartTag w:uri="urn:schemas-microsoft-com:office:smarttags" w:element="PlaceType">
        <w:r w:rsidRPr="00BA6F42">
          <w:rPr>
            <w:rFonts w:ascii="Arial" w:hAnsi="Arial" w:cs="Arial"/>
            <w:sz w:val="21"/>
            <w:szCs w:val="21"/>
          </w:rPr>
          <w:t>California</w:t>
        </w:r>
      </w:smartTag>
      <w:r w:rsidRPr="00BA6F42">
        <w:rPr>
          <w:rFonts w:ascii="Arial" w:hAnsi="Arial" w:cs="Arial"/>
          <w:sz w:val="21"/>
          <w:szCs w:val="21"/>
        </w:rPr>
        <w:t xml:space="preserve"> counties.</w:t>
      </w:r>
    </w:p>
    <w:p w:rsidR="004D16B8" w:rsidRPr="00BA6F42" w:rsidRDefault="004D16B8" w:rsidP="0024008B">
      <w:pPr>
        <w:tabs>
          <w:tab w:val="left" w:pos="4950"/>
        </w:tabs>
        <w:ind w:left="360" w:right="432"/>
        <w:rPr>
          <w:rFonts w:ascii="Arial" w:hAnsi="Arial" w:cs="Arial"/>
          <w:sz w:val="21"/>
          <w:szCs w:val="21"/>
        </w:rPr>
      </w:pPr>
    </w:p>
    <w:p w:rsidR="004D16B8" w:rsidRPr="00BA6F42" w:rsidRDefault="004D16B8" w:rsidP="0024008B">
      <w:pPr>
        <w:pStyle w:val="NoSpacing"/>
        <w:tabs>
          <w:tab w:val="left" w:pos="4950"/>
        </w:tabs>
        <w:ind w:left="360" w:right="432"/>
        <w:rPr>
          <w:rFonts w:ascii="Arial" w:hAnsi="Arial" w:cs="Arial"/>
          <w:sz w:val="21"/>
          <w:szCs w:val="21"/>
        </w:rPr>
      </w:pPr>
      <w:r w:rsidRPr="004538A7">
        <w:rPr>
          <w:rFonts w:ascii="Arial" w:hAnsi="Arial" w:cs="Arial"/>
          <w:sz w:val="21"/>
          <w:szCs w:val="21"/>
        </w:rPr>
        <w:t>Chart 1 illustrates</w:t>
      </w:r>
      <w:r w:rsidRPr="00BA6F42">
        <w:rPr>
          <w:rFonts w:ascii="Arial" w:hAnsi="Arial" w:cs="Arial"/>
          <w:sz w:val="21"/>
          <w:szCs w:val="21"/>
        </w:rPr>
        <w:t xml:space="preserve"> the number of school-aged foster youth identified in the Cal-</w:t>
      </w:r>
      <w:r>
        <w:rPr>
          <w:rFonts w:ascii="Arial" w:hAnsi="Arial" w:cs="Arial"/>
          <w:sz w:val="21"/>
          <w:szCs w:val="21"/>
        </w:rPr>
        <w:t>PASS education data at each segment</w:t>
      </w:r>
      <w:r w:rsidRPr="00BA6F42">
        <w:rPr>
          <w:rFonts w:ascii="Arial" w:hAnsi="Arial" w:cs="Arial"/>
          <w:sz w:val="21"/>
          <w:szCs w:val="21"/>
        </w:rPr>
        <w:t>.</w:t>
      </w:r>
      <w:r w:rsidRPr="00BA6F42">
        <w:rPr>
          <w:rStyle w:val="FootnoteReference"/>
          <w:rFonts w:ascii="Arial" w:hAnsi="Arial" w:cs="Arial"/>
          <w:sz w:val="21"/>
          <w:szCs w:val="21"/>
        </w:rPr>
        <w:footnoteReference w:id="1"/>
      </w:r>
      <w:r w:rsidRPr="00BA6F42">
        <w:rPr>
          <w:rFonts w:ascii="Arial" w:hAnsi="Arial" w:cs="Arial"/>
          <w:sz w:val="21"/>
          <w:szCs w:val="21"/>
        </w:rPr>
        <w:t xml:space="preserve"> </w:t>
      </w:r>
      <w:r>
        <w:rPr>
          <w:rFonts w:ascii="Arial" w:hAnsi="Arial" w:cs="Arial"/>
          <w:sz w:val="21"/>
          <w:szCs w:val="21"/>
        </w:rPr>
        <w:t xml:space="preserve"> </w:t>
      </w:r>
      <w:r w:rsidRPr="00BA6F42">
        <w:rPr>
          <w:rFonts w:ascii="Arial" w:hAnsi="Arial" w:cs="Arial"/>
          <w:sz w:val="21"/>
          <w:szCs w:val="21"/>
        </w:rPr>
        <w:t xml:space="preserve">While the majority of linked records (43% of the original sample) fell in the K-12 category, foster youth also matched community college and university records. The overall match provides important data to investigate additional key questions and guide statewide educational advocacy efforts. </w:t>
      </w:r>
    </w:p>
    <w:p w:rsidR="004D16B8" w:rsidRPr="0024008B" w:rsidRDefault="004D16B8" w:rsidP="0024008B">
      <w:pPr>
        <w:pStyle w:val="NoSpacing"/>
        <w:ind w:left="360" w:right="432"/>
        <w:rPr>
          <w:rFonts w:ascii="Gotham Light" w:hAnsi="Gotham Light" w:cs="Arial"/>
          <w:sz w:val="21"/>
          <w:szCs w:val="21"/>
        </w:rPr>
      </w:pPr>
    </w:p>
    <w:p w:rsidR="004D16B8" w:rsidRPr="00BA6F42" w:rsidRDefault="004D16B8" w:rsidP="00A86E7F">
      <w:pPr>
        <w:pStyle w:val="NoSpacing"/>
        <w:ind w:left="360" w:right="432"/>
        <w:jc w:val="center"/>
        <w:rPr>
          <w:rFonts w:ascii="Arial" w:hAnsi="Arial" w:cs="Arial"/>
          <w:b/>
          <w:sz w:val="21"/>
          <w:szCs w:val="21"/>
        </w:rPr>
      </w:pPr>
      <w:r w:rsidRPr="00BA6F42">
        <w:rPr>
          <w:rFonts w:ascii="Arial" w:hAnsi="Arial" w:cs="Arial"/>
          <w:b/>
          <w:sz w:val="21"/>
          <w:szCs w:val="21"/>
        </w:rPr>
        <w:t>Chart 1: Data Link Results between CWS/CMS and Cal-PASS Data Systems</w:t>
      </w:r>
    </w:p>
    <w:p w:rsidR="004D16B8" w:rsidRPr="00433FC8" w:rsidRDefault="004D16B8" w:rsidP="0024008B">
      <w:pPr>
        <w:pStyle w:val="NoSpacing"/>
        <w:ind w:left="360" w:right="432"/>
        <w:rPr>
          <w:rFonts w:ascii="Gotham Light" w:hAnsi="Gotham Light" w:cs="Arial"/>
          <w:b/>
          <w:sz w:val="12"/>
          <w:szCs w:val="12"/>
        </w:rPr>
      </w:pPr>
    </w:p>
    <w:p w:rsidR="004D16B8" w:rsidRPr="0024008B" w:rsidRDefault="007469ED" w:rsidP="00A86E7F">
      <w:pPr>
        <w:pStyle w:val="NoSpacing"/>
        <w:ind w:left="360" w:right="432"/>
        <w:jc w:val="center"/>
        <w:rPr>
          <w:rFonts w:ascii="Gotham Light" w:hAnsi="Gotham Light"/>
          <w:sz w:val="21"/>
          <w:szCs w:val="21"/>
        </w:rPr>
      </w:pPr>
      <w:r>
        <w:rPr>
          <w:rFonts w:ascii="Gotham Light" w:hAnsi="Gotham Light"/>
          <w:noProof/>
          <w:sz w:val="21"/>
          <w:szCs w:val="21"/>
        </w:rPr>
        <w:drawing>
          <wp:inline distT="0" distB="0" distL="0" distR="0">
            <wp:extent cx="5514975" cy="2743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14975" cy="2743200"/>
                    </a:xfrm>
                    <a:prstGeom prst="rect">
                      <a:avLst/>
                    </a:prstGeom>
                    <a:noFill/>
                    <a:ln w="9525">
                      <a:noFill/>
                      <a:miter lim="800000"/>
                      <a:headEnd/>
                      <a:tailEnd/>
                    </a:ln>
                  </pic:spPr>
                </pic:pic>
              </a:graphicData>
            </a:graphic>
          </wp:inline>
        </w:drawing>
      </w:r>
    </w:p>
    <w:p w:rsidR="004D16B8" w:rsidRPr="00433FC8" w:rsidRDefault="004D16B8" w:rsidP="0024008B">
      <w:pPr>
        <w:pStyle w:val="NoSpacing"/>
        <w:ind w:left="360" w:right="432"/>
        <w:jc w:val="center"/>
        <w:rPr>
          <w:rFonts w:ascii="Gotham Light" w:hAnsi="Gotham Light" w:cs="Arial"/>
          <w:sz w:val="12"/>
          <w:szCs w:val="12"/>
        </w:rPr>
      </w:pPr>
    </w:p>
    <w:p w:rsidR="004D16B8" w:rsidRPr="00BA6F42" w:rsidRDefault="004D16B8" w:rsidP="0024008B">
      <w:pPr>
        <w:pStyle w:val="NoSpacing"/>
        <w:ind w:left="360" w:right="432"/>
        <w:rPr>
          <w:rFonts w:ascii="Arial" w:hAnsi="Arial" w:cs="Arial"/>
          <w:sz w:val="21"/>
          <w:szCs w:val="21"/>
        </w:rPr>
      </w:pPr>
      <w:r w:rsidRPr="00BA6F42">
        <w:rPr>
          <w:rFonts w:ascii="Arial" w:hAnsi="Arial" w:cs="Arial"/>
          <w:sz w:val="21"/>
          <w:szCs w:val="21"/>
        </w:rPr>
        <w:t>This pilot demonstrated the simple but powerful acknowledgement that a data link on this scale is not only possible, it is replicable. In the coming year, the successful pilot will be expanded statewide.</w:t>
      </w:r>
    </w:p>
    <w:p w:rsidR="004D16B8" w:rsidRPr="00BA6F42" w:rsidRDefault="004D16B8" w:rsidP="0024008B">
      <w:pPr>
        <w:pStyle w:val="NoSpacing"/>
        <w:ind w:left="360" w:right="432"/>
        <w:rPr>
          <w:rFonts w:ascii="Arial" w:hAnsi="Arial" w:cs="Arial"/>
          <w:sz w:val="21"/>
          <w:szCs w:val="21"/>
        </w:rPr>
      </w:pPr>
    </w:p>
    <w:p w:rsidR="004D16B8" w:rsidRPr="00BA6F42" w:rsidRDefault="004D16B8" w:rsidP="0024008B">
      <w:pPr>
        <w:pStyle w:val="NoSpacing"/>
        <w:ind w:left="360" w:right="432"/>
        <w:rPr>
          <w:rFonts w:ascii="Arial" w:hAnsi="Arial" w:cs="Arial"/>
          <w:sz w:val="21"/>
          <w:szCs w:val="21"/>
        </w:rPr>
      </w:pPr>
      <w:r w:rsidRPr="00BA6F42">
        <w:rPr>
          <w:rFonts w:ascii="Arial" w:hAnsi="Arial" w:cs="Arial"/>
          <w:sz w:val="21"/>
          <w:szCs w:val="21"/>
        </w:rPr>
        <w:t>The project team will release a report on the full findings of the pilot later this winter. Preliminary findings in this summary include 8</w:t>
      </w:r>
      <w:r w:rsidRPr="00BA6F42">
        <w:rPr>
          <w:rFonts w:ascii="Arial" w:hAnsi="Arial" w:cs="Arial"/>
          <w:sz w:val="21"/>
          <w:szCs w:val="21"/>
          <w:vertAlign w:val="superscript"/>
        </w:rPr>
        <w:t>th</w:t>
      </w:r>
      <w:r w:rsidRPr="00BA6F42">
        <w:rPr>
          <w:rFonts w:ascii="Arial" w:hAnsi="Arial" w:cs="Arial"/>
          <w:sz w:val="21"/>
          <w:szCs w:val="21"/>
        </w:rPr>
        <w:t xml:space="preserve"> to 11</w:t>
      </w:r>
      <w:r w:rsidRPr="00BA6F42">
        <w:rPr>
          <w:rFonts w:ascii="Arial" w:hAnsi="Arial" w:cs="Arial"/>
          <w:sz w:val="21"/>
          <w:szCs w:val="21"/>
          <w:vertAlign w:val="superscript"/>
        </w:rPr>
        <w:t>th</w:t>
      </w:r>
      <w:r w:rsidRPr="00BA6F42">
        <w:rPr>
          <w:rFonts w:ascii="Arial" w:hAnsi="Arial" w:cs="Arial"/>
          <w:sz w:val="21"/>
          <w:szCs w:val="21"/>
        </w:rPr>
        <w:t xml:space="preserve"> grade California Standardized Tests (CST) scores and select college outcomes. </w:t>
      </w:r>
    </w:p>
    <w:p w:rsidR="004D16B8" w:rsidRPr="0024008B" w:rsidRDefault="004D16B8" w:rsidP="0024008B">
      <w:pPr>
        <w:pStyle w:val="NoSpacing"/>
        <w:ind w:left="360" w:right="432"/>
        <w:rPr>
          <w:rFonts w:ascii="Gotham Light" w:hAnsi="Gotham Light" w:cs="Arial"/>
          <w:sz w:val="21"/>
          <w:szCs w:val="21"/>
        </w:rPr>
      </w:pPr>
    </w:p>
    <w:p w:rsidR="004D16B8" w:rsidRPr="00935CFA" w:rsidRDefault="004D16B8" w:rsidP="0024008B">
      <w:pPr>
        <w:pStyle w:val="Heading2"/>
        <w:spacing w:before="0" w:line="276" w:lineRule="auto"/>
        <w:ind w:left="360" w:right="432"/>
        <w:rPr>
          <w:rFonts w:ascii="Gotham Light" w:hAnsi="Gotham Light"/>
          <w:color w:val="004600"/>
          <w:sz w:val="21"/>
          <w:szCs w:val="21"/>
        </w:rPr>
      </w:pPr>
      <w:r w:rsidRPr="00935CFA">
        <w:rPr>
          <w:rFonts w:ascii="Gotham Light" w:hAnsi="Gotham Light"/>
          <w:color w:val="004600"/>
          <w:sz w:val="21"/>
          <w:szCs w:val="21"/>
        </w:rPr>
        <w:t>Foster Youth 8</w:t>
      </w:r>
      <w:r w:rsidRPr="00935CFA">
        <w:rPr>
          <w:rFonts w:ascii="Gotham Light" w:hAnsi="Gotham Light"/>
          <w:color w:val="004600"/>
          <w:sz w:val="21"/>
          <w:szCs w:val="21"/>
          <w:vertAlign w:val="superscript"/>
        </w:rPr>
        <w:t>th</w:t>
      </w:r>
      <w:r w:rsidRPr="00935CFA">
        <w:rPr>
          <w:rFonts w:ascii="Gotham Light" w:hAnsi="Gotham Light"/>
          <w:color w:val="004600"/>
          <w:sz w:val="21"/>
          <w:szCs w:val="21"/>
        </w:rPr>
        <w:t xml:space="preserve"> to 11</w:t>
      </w:r>
      <w:r w:rsidRPr="00935CFA">
        <w:rPr>
          <w:rFonts w:ascii="Gotham Light" w:hAnsi="Gotham Light"/>
          <w:color w:val="004600"/>
          <w:sz w:val="21"/>
          <w:szCs w:val="21"/>
          <w:vertAlign w:val="superscript"/>
        </w:rPr>
        <w:t>th</w:t>
      </w:r>
      <w:r w:rsidRPr="00935CFA">
        <w:rPr>
          <w:rFonts w:ascii="Gotham Light" w:hAnsi="Gotham Light"/>
          <w:color w:val="004600"/>
          <w:sz w:val="21"/>
          <w:szCs w:val="21"/>
        </w:rPr>
        <w:t xml:space="preserve"> Grade Data</w:t>
      </w:r>
    </w:p>
    <w:p w:rsidR="004D16B8" w:rsidRDefault="004D16B8" w:rsidP="00433FC8">
      <w:pPr>
        <w:pStyle w:val="NoSpacing"/>
        <w:tabs>
          <w:tab w:val="left" w:pos="9840"/>
        </w:tabs>
        <w:ind w:left="360" w:right="432"/>
        <w:rPr>
          <w:rFonts w:ascii="Arial" w:hAnsi="Arial" w:cs="Arial"/>
          <w:sz w:val="21"/>
          <w:szCs w:val="21"/>
        </w:rPr>
        <w:sectPr w:rsidR="004D16B8" w:rsidSect="002773D8">
          <w:headerReference w:type="default" r:id="rId7"/>
          <w:pgSz w:w="12240" w:h="15840"/>
          <w:pgMar w:top="864" w:right="864" w:bottom="720" w:left="1200" w:header="720" w:footer="720" w:gutter="0"/>
          <w:cols w:space="720"/>
          <w:docGrid w:linePitch="360"/>
        </w:sectPr>
      </w:pPr>
      <w:r w:rsidRPr="00BA6F42">
        <w:rPr>
          <w:rFonts w:ascii="Arial" w:hAnsi="Arial" w:cs="Arial"/>
          <w:sz w:val="21"/>
          <w:szCs w:val="21"/>
        </w:rPr>
        <w:t>No Child Left Behind (NCLB) requires tracking standardized test performance for various subgroups of school children identified as “at risk” for poor academic performance (NCLB, 2001). These groups include low socio-economic status (SES), non-White, English language learners, children with disabilities, and neglected or delinquent children. While prior research indicates that the overall academic performance for foster youth is poor,</w:t>
      </w:r>
      <w:r w:rsidRPr="00BA6F42">
        <w:rPr>
          <w:rStyle w:val="FootnoteReference"/>
          <w:rFonts w:ascii="Arial" w:hAnsi="Arial" w:cs="Arial"/>
          <w:sz w:val="21"/>
          <w:szCs w:val="21"/>
        </w:rPr>
        <w:footnoteReference w:id="2"/>
      </w:r>
      <w:r w:rsidRPr="00BA6F42">
        <w:rPr>
          <w:rFonts w:ascii="Arial" w:hAnsi="Arial" w:cs="Arial"/>
          <w:sz w:val="21"/>
          <w:szCs w:val="21"/>
        </w:rPr>
        <w:t xml:space="preserve">  characteristics of foster youth and groups identified as at risk for poor academic performance often overlap</w:t>
      </w:r>
      <w:r w:rsidRPr="00BA6F42">
        <w:rPr>
          <w:rStyle w:val="FootnoteReference"/>
          <w:rFonts w:ascii="Arial" w:hAnsi="Arial" w:cs="Arial"/>
          <w:sz w:val="21"/>
          <w:szCs w:val="21"/>
        </w:rPr>
        <w:footnoteReference w:id="3"/>
      </w:r>
      <w:r w:rsidRPr="00BA6F42">
        <w:rPr>
          <w:rFonts w:ascii="Arial" w:hAnsi="Arial" w:cs="Arial"/>
          <w:sz w:val="21"/>
          <w:szCs w:val="21"/>
        </w:rPr>
        <w:t>. It was necessary to study foster youth outcomes compared to students who share these “at risk” characteristics to more accurately understand how foster care is related to educational outcomes.</w:t>
      </w:r>
    </w:p>
    <w:p w:rsidR="004D16B8" w:rsidRPr="0024008B" w:rsidRDefault="004D16B8" w:rsidP="00433FC8">
      <w:pPr>
        <w:pStyle w:val="NoSpacing"/>
        <w:tabs>
          <w:tab w:val="left" w:pos="9840"/>
        </w:tabs>
        <w:ind w:left="360" w:right="432"/>
        <w:rPr>
          <w:rFonts w:ascii="Gotham Light" w:hAnsi="Gotham Light" w:cs="Arial"/>
          <w:sz w:val="21"/>
          <w:szCs w:val="21"/>
        </w:rPr>
      </w:pPr>
    </w:p>
    <w:p w:rsidR="004D16B8" w:rsidRPr="00BA6F42" w:rsidRDefault="005D02A2" w:rsidP="00A86E7F">
      <w:pPr>
        <w:pStyle w:val="NoSpacing"/>
        <w:tabs>
          <w:tab w:val="left" w:pos="9840"/>
        </w:tabs>
        <w:ind w:left="360" w:right="432"/>
        <w:rPr>
          <w:rFonts w:ascii="Arial" w:hAnsi="Arial" w:cs="Arial"/>
          <w:sz w:val="8"/>
          <w:szCs w:val="8"/>
        </w:rPr>
      </w:pPr>
      <w:r w:rsidRPr="005D02A2">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58.75pt;width:287.3pt;height:3in;z-index:-251655680;mso-wrap-style:none" wrapcoords="0 0 21600 0 21600 21600 0 21600 0 0" filled="f" stroked="f">
            <v:textbox style="mso-next-textbox:#_x0000_s1026">
              <w:txbxContent>
                <w:p w:rsidR="004D16B8" w:rsidRPr="000611BA" w:rsidRDefault="004D16B8" w:rsidP="000611BA">
                  <w:pPr>
                    <w:pStyle w:val="NoSpacing"/>
                    <w:ind w:left="360" w:right="432"/>
                    <w:rPr>
                      <w:rFonts w:ascii="Arial" w:hAnsi="Arial" w:cs="Arial"/>
                      <w:b/>
                      <w:sz w:val="21"/>
                      <w:szCs w:val="21"/>
                    </w:rPr>
                  </w:pPr>
                  <w:r w:rsidRPr="000611BA">
                    <w:rPr>
                      <w:rFonts w:ascii="Arial" w:hAnsi="Arial" w:cs="Arial"/>
                      <w:b/>
                      <w:sz w:val="21"/>
                      <w:szCs w:val="21"/>
                    </w:rPr>
                    <w:t xml:space="preserve">Chart 3: Math CST Percent </w:t>
                  </w:r>
                </w:p>
                <w:p w:rsidR="004D16B8" w:rsidRPr="000611BA" w:rsidRDefault="004D16B8" w:rsidP="000611BA">
                  <w:pPr>
                    <w:pStyle w:val="NoSpacing"/>
                    <w:ind w:left="360" w:right="432"/>
                    <w:rPr>
                      <w:rFonts w:ascii="Arial" w:hAnsi="Arial" w:cs="Arial"/>
                      <w:b/>
                      <w:sz w:val="21"/>
                      <w:szCs w:val="21"/>
                    </w:rPr>
                  </w:pPr>
                  <w:r w:rsidRPr="000611BA">
                    <w:rPr>
                      <w:rFonts w:ascii="Arial" w:hAnsi="Arial" w:cs="Arial"/>
                      <w:b/>
                      <w:sz w:val="21"/>
                      <w:szCs w:val="21"/>
                    </w:rPr>
                    <w:t>Proficient 2004-2009</w:t>
                  </w:r>
                </w:p>
                <w:p w:rsidR="004D16B8" w:rsidRPr="00205898" w:rsidRDefault="007469ED" w:rsidP="000611BA">
                  <w:pPr>
                    <w:ind w:left="360" w:right="432"/>
                    <w:rPr>
                      <w:rFonts w:ascii="Gotham Light" w:hAnsi="Gotham Light"/>
                      <w:noProof/>
                      <w:sz w:val="21"/>
                      <w:szCs w:val="21"/>
                    </w:rPr>
                  </w:pPr>
                  <w:r>
                    <w:rPr>
                      <w:noProof/>
                      <w:szCs w:val="21"/>
                    </w:rPr>
                    <w:drawing>
                      <wp:inline distT="0" distB="0" distL="0" distR="0">
                        <wp:extent cx="2962275" cy="2276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txbxContent>
            </v:textbox>
            <w10:wrap type="tight"/>
          </v:shape>
        </w:pict>
      </w:r>
      <w:r w:rsidRPr="005D02A2">
        <w:rPr>
          <w:noProof/>
        </w:rPr>
        <w:pict>
          <v:shape id="_x0000_s1027" type="#_x0000_t202" style="position:absolute;left:0;text-align:left;margin-left:6pt;margin-top:58.75pt;width:275.3pt;height:223.2pt;z-index:-251660800;mso-wrap-style:none" wrapcoords="0 0 21600 0 21600 21600 0 21600 0 0" filled="f" stroked="f">
            <v:textbox style="mso-next-textbox:#_x0000_s1027">
              <w:txbxContent>
                <w:p w:rsidR="004D16B8" w:rsidRPr="00BA6F42" w:rsidRDefault="004D16B8" w:rsidP="00433FC8">
                  <w:pPr>
                    <w:pStyle w:val="NoSpacing"/>
                    <w:ind w:left="120" w:right="432"/>
                    <w:rPr>
                      <w:rFonts w:ascii="Arial" w:hAnsi="Arial" w:cs="Arial"/>
                      <w:b/>
                      <w:sz w:val="21"/>
                      <w:szCs w:val="21"/>
                    </w:rPr>
                  </w:pPr>
                  <w:r w:rsidRPr="00BA6F42">
                    <w:rPr>
                      <w:rFonts w:ascii="Arial" w:hAnsi="Arial" w:cs="Arial"/>
                      <w:b/>
                      <w:sz w:val="21"/>
                      <w:szCs w:val="21"/>
                    </w:rPr>
                    <w:t xml:space="preserve">Chart 2: English CST Percent </w:t>
                  </w:r>
                </w:p>
                <w:p w:rsidR="004D16B8" w:rsidRPr="00BA6F42" w:rsidRDefault="004D16B8" w:rsidP="00433FC8">
                  <w:pPr>
                    <w:pStyle w:val="NoSpacing"/>
                    <w:ind w:left="120" w:right="432"/>
                    <w:rPr>
                      <w:rFonts w:ascii="Arial" w:hAnsi="Arial" w:cs="Arial"/>
                      <w:sz w:val="21"/>
                      <w:szCs w:val="21"/>
                    </w:rPr>
                  </w:pPr>
                  <w:r w:rsidRPr="00BA6F42">
                    <w:rPr>
                      <w:rFonts w:ascii="Arial" w:hAnsi="Arial" w:cs="Arial"/>
                      <w:b/>
                      <w:sz w:val="21"/>
                      <w:szCs w:val="21"/>
                    </w:rPr>
                    <w:t>Proficient 2004-2009</w:t>
                  </w:r>
                </w:p>
                <w:p w:rsidR="004D16B8" w:rsidRPr="00BA6F42" w:rsidRDefault="007469ED" w:rsidP="00433FC8">
                  <w:pPr>
                    <w:pStyle w:val="NoSpacing"/>
                    <w:ind w:left="120" w:right="432"/>
                    <w:rPr>
                      <w:rFonts w:ascii="Arial" w:hAnsi="Arial" w:cs="Arial"/>
                      <w:noProof/>
                    </w:rPr>
                  </w:pPr>
                  <w:r>
                    <w:rPr>
                      <w:rFonts w:ascii="Arial" w:hAnsi="Arial" w:cs="Arial"/>
                      <w:noProof/>
                    </w:rPr>
                    <w:drawing>
                      <wp:inline distT="0" distB="0" distL="0" distR="0">
                        <wp:extent cx="2962275" cy="22764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txbxContent>
            </v:textbox>
            <w10:wrap type="tight"/>
          </v:shape>
        </w:pict>
      </w:r>
      <w:r w:rsidR="004D16B8" w:rsidRPr="00BA6F42">
        <w:rPr>
          <w:rFonts w:ascii="Arial" w:hAnsi="Arial" w:cs="Arial"/>
          <w:sz w:val="21"/>
          <w:szCs w:val="21"/>
        </w:rPr>
        <w:t>Foster youth were matched to students in the general population on key risk factors for poor academic performance. The results indicate that foster youth are less likely than their closely matched peers and the general student population</w:t>
      </w:r>
      <w:r w:rsidR="004D16B8" w:rsidRPr="00BA6F42">
        <w:rPr>
          <w:rStyle w:val="FootnoteReference"/>
          <w:rFonts w:ascii="Arial" w:hAnsi="Arial" w:cs="Arial"/>
          <w:sz w:val="21"/>
          <w:szCs w:val="21"/>
        </w:rPr>
        <w:footnoteReference w:id="4"/>
      </w:r>
      <w:r w:rsidR="004D16B8" w:rsidRPr="00BA6F42">
        <w:rPr>
          <w:rFonts w:ascii="Arial" w:hAnsi="Arial" w:cs="Arial"/>
          <w:sz w:val="21"/>
          <w:szCs w:val="21"/>
        </w:rPr>
        <w:t xml:space="preserve"> to achieve proficiency in English and math</w:t>
      </w:r>
      <w:r w:rsidR="004D16B8" w:rsidRPr="00BA6F42">
        <w:rPr>
          <w:rStyle w:val="FootnoteReference"/>
          <w:rFonts w:ascii="Arial" w:hAnsi="Arial" w:cs="Arial"/>
          <w:sz w:val="21"/>
          <w:szCs w:val="21"/>
        </w:rPr>
        <w:footnoteReference w:id="5"/>
      </w:r>
      <w:r w:rsidR="004D16B8" w:rsidRPr="00BA6F42">
        <w:rPr>
          <w:rFonts w:ascii="Arial" w:hAnsi="Arial" w:cs="Arial"/>
          <w:sz w:val="21"/>
          <w:szCs w:val="21"/>
        </w:rPr>
        <w:t xml:space="preserve"> at all grade levels (Charts 2 and 3). </w:t>
      </w:r>
    </w:p>
    <w:p w:rsidR="004D16B8" w:rsidRDefault="005D02A2" w:rsidP="0024008B">
      <w:pPr>
        <w:ind w:left="360" w:right="432"/>
        <w:rPr>
          <w:rFonts w:ascii="Gotham Light" w:hAnsi="Gotham Light" w:cs="Arial"/>
          <w:b/>
          <w:sz w:val="21"/>
          <w:szCs w:val="21"/>
        </w:rPr>
      </w:pPr>
      <w:r w:rsidRPr="005D02A2">
        <w:rPr>
          <w:noProof/>
        </w:rPr>
        <w:pict>
          <v:shape id="_x0000_s1028" type="#_x0000_t202" style="position:absolute;left:0;text-align:left;margin-left:-278.3pt;margin-top:-.35pt;width:516pt;height:57.9pt;z-index:251658752" filled="f" stroked="f">
            <v:textbox style="mso-next-textbox:#_x0000_s1028;mso-fit-shape-to-text:t">
              <w:txbxContent>
                <w:p w:rsidR="004D16B8" w:rsidRPr="00935CFA" w:rsidRDefault="004D16B8" w:rsidP="00A86E7F">
                  <w:pPr>
                    <w:pStyle w:val="Heading2"/>
                    <w:spacing w:before="0" w:line="276" w:lineRule="auto"/>
                    <w:ind w:right="432"/>
                    <w:jc w:val="both"/>
                    <w:rPr>
                      <w:rFonts w:ascii="Gotham Light" w:hAnsi="Gotham Light"/>
                      <w:color w:val="004600"/>
                      <w:sz w:val="21"/>
                      <w:szCs w:val="21"/>
                    </w:rPr>
                  </w:pPr>
                  <w:smartTag w:uri="urn:schemas-microsoft-com:office:smarttags" w:element="PlaceName">
                    <w:smartTag w:uri="urn:schemas-microsoft-com:office:smarttags" w:element="place">
                      <w:smartTag w:uri="urn:schemas-microsoft-com:office:smarttags" w:element="PlaceName">
                        <w:r w:rsidRPr="00935CFA">
                          <w:rPr>
                            <w:rFonts w:ascii="Gotham Light" w:hAnsi="Gotham Light"/>
                            <w:color w:val="004600"/>
                            <w:sz w:val="21"/>
                            <w:szCs w:val="21"/>
                          </w:rPr>
                          <w:t>Foster</w:t>
                        </w:r>
                      </w:smartTag>
                      <w:r w:rsidRPr="00935CFA">
                        <w:rPr>
                          <w:rFonts w:ascii="Gotham Light" w:hAnsi="Gotham Light"/>
                          <w:color w:val="004600"/>
                          <w:sz w:val="21"/>
                          <w:szCs w:val="21"/>
                        </w:rPr>
                        <w:t xml:space="preserve"> </w:t>
                      </w:r>
                      <w:smartTag w:uri="urn:schemas-microsoft-com:office:smarttags" w:element="PlaceName">
                        <w:r w:rsidRPr="00935CFA">
                          <w:rPr>
                            <w:rFonts w:ascii="Gotham Light" w:hAnsi="Gotham Light"/>
                            <w:color w:val="004600"/>
                            <w:sz w:val="21"/>
                            <w:szCs w:val="21"/>
                          </w:rPr>
                          <w:t>Youth</w:t>
                        </w:r>
                      </w:smartTag>
                      <w:r w:rsidRPr="00935CFA">
                        <w:rPr>
                          <w:rFonts w:ascii="Gotham Light" w:hAnsi="Gotham Light"/>
                          <w:color w:val="004600"/>
                          <w:sz w:val="21"/>
                          <w:szCs w:val="21"/>
                        </w:rPr>
                        <w:t xml:space="preserve"> </w:t>
                      </w:r>
                      <w:smartTag w:uri="urn:schemas-microsoft-com:office:smarttags" w:element="PlaceType">
                        <w:r w:rsidRPr="00935CFA">
                          <w:rPr>
                            <w:rFonts w:ascii="Gotham Light" w:hAnsi="Gotham Light"/>
                            <w:color w:val="004600"/>
                            <w:sz w:val="21"/>
                            <w:szCs w:val="21"/>
                          </w:rPr>
                          <w:t>College</w:t>
                        </w:r>
                      </w:smartTag>
                    </w:smartTag>
                  </w:smartTag>
                  <w:r w:rsidRPr="00935CFA">
                    <w:rPr>
                      <w:rFonts w:ascii="Gotham Light" w:hAnsi="Gotham Light"/>
                      <w:color w:val="004600"/>
                      <w:sz w:val="21"/>
                      <w:szCs w:val="21"/>
                    </w:rPr>
                    <w:t xml:space="preserve"> Data</w:t>
                  </w:r>
                </w:p>
                <w:p w:rsidR="004D16B8" w:rsidRPr="00BA6F42" w:rsidRDefault="004D16B8" w:rsidP="00A86E7F">
                  <w:pPr>
                    <w:ind w:right="72"/>
                    <w:rPr>
                      <w:rFonts w:ascii="Arial" w:hAnsi="Arial" w:cs="Arial"/>
                      <w:noProof/>
                    </w:rPr>
                  </w:pPr>
                  <w:r w:rsidRPr="00BA6F42">
                    <w:rPr>
                      <w:rFonts w:ascii="Arial" w:hAnsi="Arial" w:cs="Arial"/>
                      <w:sz w:val="21"/>
                      <w:szCs w:val="21"/>
                    </w:rPr>
                    <w:t xml:space="preserve">Investigation of the post-secondary outcomes for foster youth in the four pilot </w:t>
                  </w:r>
                  <w:smartTag w:uri="urn:schemas-microsoft-com:office:smarttags" w:element="State">
                    <w:smartTag w:uri="urn:schemas-microsoft-com:office:smarttags" w:element="place">
                      <w:r w:rsidRPr="00BA6F42">
                        <w:rPr>
                          <w:rFonts w:ascii="Arial" w:hAnsi="Arial" w:cs="Arial"/>
                          <w:sz w:val="21"/>
                          <w:szCs w:val="21"/>
                        </w:rPr>
                        <w:t>California</w:t>
                      </w:r>
                    </w:smartTag>
                  </w:smartTag>
                  <w:r w:rsidRPr="00BA6F42">
                    <w:rPr>
                      <w:rFonts w:ascii="Arial" w:hAnsi="Arial" w:cs="Arial"/>
                      <w:sz w:val="21"/>
                      <w:szCs w:val="21"/>
                    </w:rPr>
                    <w:t xml:space="preserve"> counties indicates that these students enroll in the lowest level remedial community college courses more often and have lower persistence and degree attainment rates than similar at-risk students (Chart 4). </w:t>
                  </w:r>
                </w:p>
              </w:txbxContent>
            </v:textbox>
            <w10:wrap type="square"/>
          </v:shape>
        </w:pict>
      </w:r>
    </w:p>
    <w:p w:rsidR="004D16B8" w:rsidRDefault="005D02A2" w:rsidP="00D22B7E">
      <w:pPr>
        <w:ind w:right="432"/>
        <w:rPr>
          <w:rFonts w:ascii="Gotham Light" w:hAnsi="Gotham Light" w:cs="Arial"/>
          <w:b/>
          <w:sz w:val="21"/>
          <w:szCs w:val="21"/>
        </w:rPr>
      </w:pPr>
      <w:r w:rsidRPr="005D02A2">
        <w:rPr>
          <w:noProof/>
        </w:rPr>
        <w:pict>
          <v:shape id="_x0000_s1029" type="#_x0000_t202" style="position:absolute;margin-left:-21pt;margin-top:10.5pt;width:252pt;height:178.2pt;z-index:251656704" stroked="f">
            <v:textbox style="mso-next-textbox:#_x0000_s1029">
              <w:txbxContent>
                <w:p w:rsidR="004D16B8" w:rsidRPr="00BA6F42" w:rsidRDefault="004D16B8" w:rsidP="00A86E7F">
                  <w:pPr>
                    <w:ind w:left="-120" w:right="-40"/>
                    <w:rPr>
                      <w:rFonts w:ascii="Arial" w:hAnsi="Arial" w:cs="Arial"/>
                      <w:sz w:val="21"/>
                      <w:szCs w:val="21"/>
                    </w:rPr>
                  </w:pPr>
                  <w:r w:rsidRPr="00BA6F42">
                    <w:rPr>
                      <w:rFonts w:ascii="Arial" w:hAnsi="Arial" w:cs="Arial"/>
                      <w:sz w:val="21"/>
                      <w:szCs w:val="21"/>
                    </w:rPr>
                    <w:t xml:space="preserve">In addition to the </w:t>
                  </w:r>
                  <w:r w:rsidRPr="00BA6F42">
                    <w:rPr>
                      <w:rFonts w:ascii="Arial" w:hAnsi="Arial" w:cs="Arial"/>
                      <w:i/>
                      <w:sz w:val="21"/>
                      <w:szCs w:val="21"/>
                    </w:rPr>
                    <w:t xml:space="preserve">Investigating California Foster Youth High School &amp; College Education Outcomes </w:t>
                  </w:r>
                  <w:r w:rsidRPr="00BA6F42">
                    <w:rPr>
                      <w:rFonts w:ascii="Arial" w:hAnsi="Arial" w:cs="Arial"/>
                      <w:sz w:val="21"/>
                      <w:szCs w:val="21"/>
                    </w:rPr>
                    <w:t xml:space="preserve">project, Cal-PASS is leading an effort to improve data access within the College Pathways Initiative. </w:t>
                  </w:r>
                </w:p>
                <w:p w:rsidR="004D16B8" w:rsidRPr="00BA6F42" w:rsidRDefault="004D16B8" w:rsidP="00A86E7F">
                  <w:pPr>
                    <w:ind w:left="-120" w:right="-40"/>
                    <w:rPr>
                      <w:rFonts w:ascii="Arial" w:hAnsi="Arial" w:cs="Arial"/>
                      <w:sz w:val="21"/>
                      <w:szCs w:val="21"/>
                    </w:rPr>
                  </w:pPr>
                </w:p>
                <w:p w:rsidR="004D16B8" w:rsidRPr="00BA6F42" w:rsidRDefault="004D16B8" w:rsidP="00A86E7F">
                  <w:pPr>
                    <w:ind w:left="-120" w:right="-40"/>
                    <w:rPr>
                      <w:rFonts w:ascii="Arial" w:hAnsi="Arial" w:cs="Arial"/>
                      <w:sz w:val="21"/>
                      <w:szCs w:val="21"/>
                    </w:rPr>
                  </w:pPr>
                  <w:r w:rsidRPr="00BA6F42">
                    <w:rPr>
                      <w:rFonts w:ascii="Arial" w:hAnsi="Arial" w:cs="Arial"/>
                      <w:sz w:val="21"/>
                      <w:szCs w:val="21"/>
                    </w:rPr>
                    <w:t xml:space="preserve">College Pathways is a campus support program that provides former foster youth with year-round housing, financial aid, counseling and academic tutoring on 53 college campuses in </w:t>
                  </w:r>
                  <w:smartTag w:uri="urn:schemas-microsoft-com:office:smarttags" w:element="State">
                    <w:smartTag w:uri="urn:schemas-microsoft-com:office:smarttags" w:element="place">
                      <w:r w:rsidRPr="00BA6F42">
                        <w:rPr>
                          <w:rFonts w:ascii="Arial" w:hAnsi="Arial" w:cs="Arial"/>
                          <w:sz w:val="21"/>
                          <w:szCs w:val="21"/>
                        </w:rPr>
                        <w:t>California</w:t>
                      </w:r>
                    </w:smartTag>
                  </w:smartTag>
                  <w:r w:rsidRPr="00BA6F42">
                    <w:rPr>
                      <w:rFonts w:ascii="Arial" w:hAnsi="Arial" w:cs="Arial"/>
                      <w:sz w:val="21"/>
                      <w:szCs w:val="21"/>
                    </w:rPr>
                    <w:t xml:space="preserve">. </w:t>
                  </w:r>
                  <w:r>
                    <w:rPr>
                      <w:rFonts w:ascii="Arial" w:hAnsi="Arial" w:cs="Arial"/>
                      <w:sz w:val="21"/>
                      <w:szCs w:val="21"/>
                    </w:rPr>
                    <w:t xml:space="preserve"> </w:t>
                  </w:r>
                  <w:r w:rsidRPr="00BA6F42">
                    <w:rPr>
                      <w:rFonts w:ascii="Arial" w:hAnsi="Arial" w:cs="Arial"/>
                      <w:sz w:val="21"/>
                      <w:szCs w:val="21"/>
                    </w:rPr>
                    <w:t xml:space="preserve">For more information visit </w:t>
                  </w:r>
                  <w:hyperlink r:id="rId10" w:history="1">
                    <w:r w:rsidRPr="00BA6F42">
                      <w:rPr>
                        <w:rStyle w:val="Hyperlink"/>
                        <w:rFonts w:ascii="Arial" w:hAnsi="Arial" w:cs="Arial"/>
                        <w:color w:val="auto"/>
                        <w:sz w:val="21"/>
                        <w:szCs w:val="21"/>
                        <w:u w:val="none"/>
                      </w:rPr>
                      <w:t>www.cacollegepathways.org.</w:t>
                    </w:r>
                  </w:hyperlink>
                </w:p>
                <w:p w:rsidR="004D16B8" w:rsidRPr="00BA6F42" w:rsidRDefault="004D16B8" w:rsidP="009424DA">
                  <w:pPr>
                    <w:ind w:left="360" w:right="432"/>
                    <w:rPr>
                      <w:rFonts w:ascii="Arial" w:hAnsi="Arial" w:cs="Arial"/>
                      <w:sz w:val="21"/>
                      <w:szCs w:val="21"/>
                    </w:rPr>
                  </w:pPr>
                </w:p>
                <w:p w:rsidR="004D16B8" w:rsidRPr="00BA6F42" w:rsidRDefault="004D16B8">
                  <w:pPr>
                    <w:rPr>
                      <w:rFonts w:ascii="Arial" w:hAnsi="Arial" w:cs="Arial"/>
                    </w:rPr>
                  </w:pPr>
                </w:p>
              </w:txbxContent>
            </v:textbox>
          </v:shape>
        </w:pict>
      </w:r>
      <w:r w:rsidRPr="005D02A2">
        <w:rPr>
          <w:noProof/>
        </w:rPr>
        <w:pict>
          <v:shape id="_x0000_s1030" type="#_x0000_t202" style="position:absolute;margin-left:-5.3pt;margin-top:.85pt;width:287.3pt;height:201.9pt;z-index:-251658752;mso-wrap-style:none" wrapcoords="0 0 21600 0 21600 21600 0 21600 0 0" filled="f" stroked="f">
            <v:textbox style="mso-next-textbox:#_x0000_s1030">
              <w:txbxContent>
                <w:p w:rsidR="004D16B8" w:rsidRPr="00BA6F42" w:rsidRDefault="004D16B8" w:rsidP="009424DA">
                  <w:pPr>
                    <w:ind w:left="360" w:right="432"/>
                    <w:rPr>
                      <w:rFonts w:ascii="Arial" w:hAnsi="Arial" w:cs="Arial"/>
                      <w:b/>
                      <w:sz w:val="21"/>
                      <w:szCs w:val="21"/>
                    </w:rPr>
                  </w:pPr>
                  <w:r w:rsidRPr="00BA6F42">
                    <w:rPr>
                      <w:rFonts w:ascii="Arial" w:hAnsi="Arial" w:cs="Arial"/>
                      <w:b/>
                      <w:sz w:val="21"/>
                      <w:szCs w:val="21"/>
                    </w:rPr>
                    <w:t>Chart 4: Community College Outcomes</w:t>
                  </w:r>
                </w:p>
                <w:p w:rsidR="004D16B8" w:rsidRPr="009667B8" w:rsidRDefault="007469ED" w:rsidP="009424DA">
                  <w:pPr>
                    <w:ind w:left="360" w:right="432"/>
                    <w:rPr>
                      <w:rFonts w:ascii="Gotham Light" w:hAnsi="Gotham Light"/>
                      <w:noProof/>
                      <w:sz w:val="21"/>
                      <w:szCs w:val="21"/>
                    </w:rPr>
                  </w:pPr>
                  <w:r>
                    <w:rPr>
                      <w:noProof/>
                      <w:szCs w:val="21"/>
                    </w:rPr>
                    <w:drawing>
                      <wp:inline distT="0" distB="0" distL="0" distR="0">
                        <wp:extent cx="2905125" cy="2276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905125" cy="2276475"/>
                                </a:xfrm>
                                <a:prstGeom prst="rect">
                                  <a:avLst/>
                                </a:prstGeom>
                                <a:noFill/>
                                <a:ln w="9525">
                                  <a:noFill/>
                                  <a:miter lim="800000"/>
                                  <a:headEnd/>
                                  <a:tailEnd/>
                                </a:ln>
                              </pic:spPr>
                            </pic:pic>
                          </a:graphicData>
                        </a:graphic>
                      </wp:inline>
                    </w:drawing>
                  </w:r>
                </w:p>
              </w:txbxContent>
            </v:textbox>
            <w10:wrap type="tight"/>
          </v:shape>
        </w:pict>
      </w: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Default="004D16B8" w:rsidP="000611BA">
      <w:pPr>
        <w:ind w:left="360" w:right="432" w:firstLine="120"/>
        <w:rPr>
          <w:rFonts w:ascii="Gotham Light" w:hAnsi="Gotham Light" w:cs="Arial"/>
          <w:b/>
          <w:sz w:val="21"/>
          <w:szCs w:val="21"/>
        </w:rPr>
      </w:pPr>
    </w:p>
    <w:p w:rsidR="004D16B8" w:rsidRPr="00BA6F42" w:rsidRDefault="004D16B8" w:rsidP="000611BA">
      <w:pPr>
        <w:ind w:left="360"/>
        <w:rPr>
          <w:rFonts w:ascii="Arial" w:hAnsi="Arial" w:cs="Arial"/>
        </w:rPr>
      </w:pPr>
      <w:r w:rsidRPr="00BA6F42">
        <w:rPr>
          <w:rFonts w:ascii="Arial" w:hAnsi="Arial" w:cs="Arial"/>
          <w:sz w:val="21"/>
          <w:szCs w:val="21"/>
        </w:rPr>
        <w:t>Cal-PASS and the California State University Chancellor’s Office collected graduation</w:t>
      </w:r>
      <w:r>
        <w:rPr>
          <w:rStyle w:val="FootnoteReference"/>
          <w:rFonts w:ascii="Arial" w:hAnsi="Arial"/>
          <w:sz w:val="21"/>
          <w:szCs w:val="21"/>
        </w:rPr>
        <w:footnoteReference w:id="6"/>
      </w:r>
      <w:r w:rsidRPr="00BA6F42">
        <w:rPr>
          <w:rFonts w:ascii="Arial" w:hAnsi="Arial" w:cs="Arial"/>
          <w:sz w:val="21"/>
          <w:szCs w:val="21"/>
        </w:rPr>
        <w:t xml:space="preserve"> and persistence</w:t>
      </w:r>
      <w:r>
        <w:rPr>
          <w:rStyle w:val="FootnoteReference"/>
          <w:rFonts w:ascii="Arial" w:hAnsi="Arial"/>
          <w:sz w:val="21"/>
          <w:szCs w:val="21"/>
        </w:rPr>
        <w:footnoteReference w:id="7"/>
      </w:r>
      <w:r w:rsidRPr="00BA6F42">
        <w:rPr>
          <w:rFonts w:ascii="Arial" w:hAnsi="Arial" w:cs="Arial"/>
          <w:sz w:val="21"/>
          <w:szCs w:val="21"/>
        </w:rPr>
        <w:t xml:space="preserve"> data for 14 of the participating community college and university campuses funded by the Stuart and Walter S Johnson Foundations (Table 1). These data suggest that a majority of foster youth on these campuses who receive targeted services in college are persisting in their education.</w:t>
      </w:r>
    </w:p>
    <w:p w:rsidR="004D16B8" w:rsidRDefault="004D16B8" w:rsidP="0024008B">
      <w:pPr>
        <w:ind w:left="360" w:right="432"/>
        <w:rPr>
          <w:rFonts w:ascii="Gotham Light" w:hAnsi="Gotham Light" w:cs="Arial"/>
          <w:b/>
          <w:sz w:val="21"/>
          <w:szCs w:val="21"/>
        </w:rPr>
      </w:pPr>
    </w:p>
    <w:p w:rsidR="004D16B8" w:rsidRPr="00BA6F42" w:rsidRDefault="004D16B8" w:rsidP="0024008B">
      <w:pPr>
        <w:ind w:left="360" w:right="432"/>
        <w:rPr>
          <w:rFonts w:ascii="Arial" w:hAnsi="Arial" w:cs="Arial"/>
          <w:b/>
          <w:sz w:val="21"/>
          <w:szCs w:val="21"/>
        </w:rPr>
      </w:pPr>
      <w:r w:rsidRPr="00BA6F42">
        <w:rPr>
          <w:rFonts w:ascii="Arial" w:hAnsi="Arial" w:cs="Arial"/>
          <w:b/>
          <w:sz w:val="21"/>
          <w:szCs w:val="21"/>
        </w:rPr>
        <w:lastRenderedPageBreak/>
        <w:t>Table 1: College Pathways Program Outcomes</w:t>
      </w:r>
    </w:p>
    <w:tbl>
      <w:tblPr>
        <w:tblW w:w="4530" w:type="pct"/>
        <w:tblInd w:w="468" w:type="dxa"/>
        <w:tblLayout w:type="fixed"/>
        <w:tblLook w:val="00A0"/>
      </w:tblPr>
      <w:tblGrid>
        <w:gridCol w:w="3141"/>
        <w:gridCol w:w="1629"/>
        <w:gridCol w:w="1510"/>
        <w:gridCol w:w="1395"/>
        <w:gridCol w:w="1740"/>
      </w:tblGrid>
      <w:tr w:rsidR="004D16B8" w:rsidRPr="0024008B" w:rsidTr="00BE120C">
        <w:trPr>
          <w:trHeight w:val="547"/>
        </w:trPr>
        <w:tc>
          <w:tcPr>
            <w:tcW w:w="1668" w:type="pct"/>
            <w:tcBorders>
              <w:top w:val="single" w:sz="4" w:space="0" w:color="auto"/>
              <w:left w:val="single" w:sz="8" w:space="0" w:color="auto"/>
              <w:bottom w:val="single" w:sz="8" w:space="0" w:color="auto"/>
              <w:right w:val="single" w:sz="4" w:space="0" w:color="auto"/>
            </w:tcBorders>
            <w:shd w:val="clear" w:color="000000" w:fill="FFFFFF"/>
            <w:vAlign w:val="center"/>
          </w:tcPr>
          <w:p w:rsidR="004D16B8" w:rsidRPr="0024008B" w:rsidRDefault="004D16B8" w:rsidP="0024008B">
            <w:pPr>
              <w:ind w:left="360" w:right="432"/>
              <w:jc w:val="center"/>
              <w:rPr>
                <w:rFonts w:ascii="Gotham Light" w:hAnsi="Gotham Light" w:cs="Arial"/>
                <w:b/>
                <w:bCs/>
                <w:color w:val="000000"/>
                <w:sz w:val="21"/>
                <w:szCs w:val="21"/>
              </w:rPr>
            </w:pPr>
            <w:r w:rsidRPr="0024008B">
              <w:rPr>
                <w:rFonts w:ascii="Gotham Light" w:hAnsi="Gotham Light" w:cs="Arial"/>
                <w:b/>
                <w:bCs/>
                <w:color w:val="000000"/>
                <w:sz w:val="21"/>
                <w:szCs w:val="21"/>
              </w:rPr>
              <w:t xml:space="preserve">Campus </w:t>
            </w:r>
          </w:p>
        </w:tc>
        <w:tc>
          <w:tcPr>
            <w:tcW w:w="865" w:type="pct"/>
            <w:tcBorders>
              <w:top w:val="single" w:sz="4" w:space="0" w:color="auto"/>
              <w:left w:val="nil"/>
              <w:bottom w:val="single" w:sz="8" w:space="0" w:color="auto"/>
              <w:right w:val="single" w:sz="4" w:space="0" w:color="auto"/>
            </w:tcBorders>
            <w:shd w:val="clear" w:color="000000" w:fill="FFFFFF"/>
            <w:vAlign w:val="center"/>
          </w:tcPr>
          <w:p w:rsidR="004D16B8" w:rsidRPr="0024008B" w:rsidRDefault="004D16B8" w:rsidP="00433FC8">
            <w:pPr>
              <w:ind w:left="-108" w:right="-108"/>
              <w:jc w:val="center"/>
              <w:rPr>
                <w:rFonts w:ascii="Gotham Light" w:hAnsi="Gotham Light" w:cs="Arial"/>
                <w:b/>
                <w:bCs/>
                <w:color w:val="000000"/>
                <w:sz w:val="21"/>
                <w:szCs w:val="21"/>
              </w:rPr>
            </w:pPr>
            <w:r w:rsidRPr="0024008B">
              <w:rPr>
                <w:rFonts w:ascii="Gotham Light" w:hAnsi="Gotham Light" w:cs="Arial"/>
                <w:b/>
                <w:bCs/>
                <w:color w:val="000000"/>
                <w:sz w:val="21"/>
                <w:szCs w:val="21"/>
              </w:rPr>
              <w:t>Year Program Began</w:t>
            </w:r>
          </w:p>
        </w:tc>
        <w:tc>
          <w:tcPr>
            <w:tcW w:w="802" w:type="pct"/>
            <w:tcBorders>
              <w:top w:val="single" w:sz="4" w:space="0" w:color="auto"/>
              <w:left w:val="nil"/>
              <w:bottom w:val="single" w:sz="8" w:space="0" w:color="auto"/>
              <w:right w:val="single" w:sz="4" w:space="0" w:color="auto"/>
            </w:tcBorders>
            <w:shd w:val="clear" w:color="000000" w:fill="FFFFFF"/>
            <w:vAlign w:val="center"/>
          </w:tcPr>
          <w:p w:rsidR="004D16B8" w:rsidRPr="0024008B" w:rsidRDefault="004D16B8" w:rsidP="00433FC8">
            <w:pPr>
              <w:ind w:left="-108" w:right="-109"/>
              <w:jc w:val="center"/>
              <w:rPr>
                <w:rFonts w:ascii="Gotham Light" w:hAnsi="Gotham Light" w:cs="Arial"/>
                <w:b/>
                <w:bCs/>
                <w:color w:val="000000"/>
                <w:sz w:val="21"/>
                <w:szCs w:val="21"/>
              </w:rPr>
            </w:pPr>
            <w:r w:rsidRPr="0024008B">
              <w:rPr>
                <w:rFonts w:ascii="Gotham Light" w:hAnsi="Gotham Light" w:cs="Arial"/>
                <w:b/>
                <w:bCs/>
                <w:color w:val="000000"/>
                <w:sz w:val="21"/>
                <w:szCs w:val="21"/>
              </w:rPr>
              <w:t>Total Served</w:t>
            </w:r>
          </w:p>
        </w:tc>
        <w:tc>
          <w:tcPr>
            <w:tcW w:w="741" w:type="pct"/>
            <w:tcBorders>
              <w:top w:val="single" w:sz="4" w:space="0" w:color="auto"/>
              <w:left w:val="nil"/>
              <w:bottom w:val="single" w:sz="8" w:space="0" w:color="auto"/>
              <w:right w:val="single" w:sz="4" w:space="0" w:color="auto"/>
            </w:tcBorders>
            <w:shd w:val="clear" w:color="000000" w:fill="FFFFFF"/>
            <w:vAlign w:val="center"/>
          </w:tcPr>
          <w:p w:rsidR="004D16B8" w:rsidRPr="0024008B" w:rsidRDefault="004D16B8" w:rsidP="00433FC8">
            <w:pPr>
              <w:ind w:left="-108" w:right="-109"/>
              <w:jc w:val="center"/>
              <w:rPr>
                <w:rFonts w:ascii="Gotham Light" w:hAnsi="Gotham Light" w:cs="Arial"/>
                <w:b/>
                <w:bCs/>
                <w:color w:val="000000"/>
                <w:sz w:val="21"/>
                <w:szCs w:val="21"/>
              </w:rPr>
            </w:pPr>
            <w:r w:rsidRPr="0024008B">
              <w:rPr>
                <w:rFonts w:ascii="Gotham Light" w:hAnsi="Gotham Light" w:cs="Arial"/>
                <w:b/>
                <w:bCs/>
                <w:color w:val="000000"/>
                <w:sz w:val="21"/>
                <w:szCs w:val="21"/>
              </w:rPr>
              <w:t>Graduation Rate</w:t>
            </w:r>
          </w:p>
        </w:tc>
        <w:tc>
          <w:tcPr>
            <w:tcW w:w="924" w:type="pct"/>
            <w:tcBorders>
              <w:top w:val="single" w:sz="4" w:space="0" w:color="auto"/>
              <w:left w:val="nil"/>
              <w:bottom w:val="single" w:sz="8" w:space="0" w:color="auto"/>
              <w:right w:val="single" w:sz="8" w:space="0" w:color="auto"/>
            </w:tcBorders>
            <w:shd w:val="clear" w:color="000000" w:fill="FFFFFF"/>
            <w:vAlign w:val="center"/>
          </w:tcPr>
          <w:p w:rsidR="004D16B8" w:rsidRPr="0024008B" w:rsidRDefault="004D16B8" w:rsidP="00433FC8">
            <w:pPr>
              <w:ind w:left="-107" w:right="-150"/>
              <w:jc w:val="center"/>
              <w:rPr>
                <w:rFonts w:ascii="Gotham Light" w:hAnsi="Gotham Light" w:cs="Arial"/>
                <w:b/>
                <w:bCs/>
                <w:color w:val="000000"/>
                <w:sz w:val="21"/>
                <w:szCs w:val="21"/>
              </w:rPr>
            </w:pPr>
            <w:r w:rsidRPr="0024008B">
              <w:rPr>
                <w:rFonts w:ascii="Gotham Light" w:hAnsi="Gotham Light" w:cs="Arial"/>
                <w:b/>
                <w:bCs/>
                <w:color w:val="000000"/>
                <w:sz w:val="21"/>
                <w:szCs w:val="21"/>
              </w:rPr>
              <w:t>Persistence Rate</w:t>
            </w:r>
          </w:p>
        </w:tc>
      </w:tr>
      <w:tr w:rsidR="004D16B8" w:rsidRPr="0024008B" w:rsidTr="00BE120C">
        <w:trPr>
          <w:trHeight w:val="202"/>
        </w:trPr>
        <w:tc>
          <w:tcPr>
            <w:tcW w:w="1668" w:type="pct"/>
            <w:tcBorders>
              <w:top w:val="single" w:sz="8" w:space="0" w:color="auto"/>
              <w:left w:val="single" w:sz="8" w:space="0" w:color="auto"/>
              <w:bottom w:val="single" w:sz="4" w:space="0" w:color="auto"/>
              <w:right w:val="single" w:sz="4" w:space="0" w:color="auto"/>
            </w:tcBorders>
            <w:shd w:val="clear" w:color="auto" w:fill="99CC00"/>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1</w:t>
            </w:r>
          </w:p>
        </w:tc>
        <w:tc>
          <w:tcPr>
            <w:tcW w:w="865" w:type="pct"/>
            <w:tcBorders>
              <w:top w:val="single" w:sz="8" w:space="0" w:color="auto"/>
              <w:left w:val="nil"/>
              <w:bottom w:val="single" w:sz="4" w:space="0" w:color="auto"/>
              <w:right w:val="single" w:sz="4" w:space="0" w:color="auto"/>
            </w:tcBorders>
            <w:shd w:val="clear" w:color="auto" w:fill="99CC00"/>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1998</w:t>
            </w:r>
          </w:p>
        </w:tc>
        <w:tc>
          <w:tcPr>
            <w:tcW w:w="802" w:type="pct"/>
            <w:tcBorders>
              <w:top w:val="single" w:sz="8" w:space="0" w:color="auto"/>
              <w:left w:val="nil"/>
              <w:bottom w:val="single" w:sz="4" w:space="0" w:color="auto"/>
              <w:right w:val="single" w:sz="4" w:space="0" w:color="auto"/>
            </w:tcBorders>
            <w:shd w:val="clear" w:color="auto" w:fill="99CC00"/>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142</w:t>
            </w:r>
          </w:p>
        </w:tc>
        <w:tc>
          <w:tcPr>
            <w:tcW w:w="741" w:type="pct"/>
            <w:tcBorders>
              <w:top w:val="single" w:sz="8" w:space="0" w:color="auto"/>
              <w:left w:val="nil"/>
              <w:bottom w:val="single" w:sz="4" w:space="0" w:color="auto"/>
              <w:right w:val="single" w:sz="4" w:space="0" w:color="auto"/>
            </w:tcBorders>
            <w:shd w:val="clear" w:color="auto" w:fill="99CC00"/>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49%</w:t>
            </w:r>
          </w:p>
        </w:tc>
        <w:tc>
          <w:tcPr>
            <w:tcW w:w="924" w:type="pct"/>
            <w:tcBorders>
              <w:top w:val="single" w:sz="8" w:space="0" w:color="auto"/>
              <w:left w:val="nil"/>
              <w:bottom w:val="single" w:sz="4" w:space="0" w:color="auto"/>
              <w:right w:val="single" w:sz="8" w:space="0" w:color="auto"/>
            </w:tcBorders>
            <w:shd w:val="clear" w:color="auto" w:fill="99CC00"/>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68%</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CCFFCC"/>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2</w:t>
            </w:r>
          </w:p>
        </w:tc>
        <w:tc>
          <w:tcPr>
            <w:tcW w:w="865"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1999</w:t>
            </w:r>
          </w:p>
        </w:tc>
        <w:tc>
          <w:tcPr>
            <w:tcW w:w="802"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111</w:t>
            </w:r>
          </w:p>
        </w:tc>
        <w:tc>
          <w:tcPr>
            <w:tcW w:w="741"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51%</w:t>
            </w:r>
          </w:p>
        </w:tc>
        <w:tc>
          <w:tcPr>
            <w:tcW w:w="924" w:type="pct"/>
            <w:tcBorders>
              <w:top w:val="single" w:sz="4" w:space="0" w:color="auto"/>
              <w:left w:val="nil"/>
              <w:bottom w:val="single" w:sz="4" w:space="0" w:color="auto"/>
              <w:right w:val="single" w:sz="8" w:space="0" w:color="auto"/>
            </w:tcBorders>
            <w:shd w:val="clear" w:color="auto" w:fill="CCFFCC"/>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80%</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99CC00"/>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3</w:t>
            </w:r>
          </w:p>
        </w:tc>
        <w:tc>
          <w:tcPr>
            <w:tcW w:w="865"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2002</w:t>
            </w:r>
          </w:p>
        </w:tc>
        <w:tc>
          <w:tcPr>
            <w:tcW w:w="802"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97</w:t>
            </w:r>
          </w:p>
        </w:tc>
        <w:tc>
          <w:tcPr>
            <w:tcW w:w="741" w:type="pct"/>
            <w:tcBorders>
              <w:top w:val="single" w:sz="4" w:space="0" w:color="auto"/>
              <w:left w:val="nil"/>
              <w:bottom w:val="single" w:sz="4" w:space="0" w:color="auto"/>
              <w:right w:val="single" w:sz="4" w:space="0" w:color="auto"/>
            </w:tcBorders>
            <w:shd w:val="clear" w:color="auto" w:fill="99CC00"/>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18%</w:t>
            </w:r>
          </w:p>
        </w:tc>
        <w:tc>
          <w:tcPr>
            <w:tcW w:w="924" w:type="pct"/>
            <w:tcBorders>
              <w:top w:val="single" w:sz="4" w:space="0" w:color="auto"/>
              <w:left w:val="nil"/>
              <w:bottom w:val="single" w:sz="4" w:space="0" w:color="auto"/>
              <w:right w:val="single" w:sz="8" w:space="0" w:color="auto"/>
            </w:tcBorders>
            <w:shd w:val="clear" w:color="auto" w:fill="99CC00"/>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57%</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CCFFCC"/>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4</w:t>
            </w:r>
          </w:p>
        </w:tc>
        <w:tc>
          <w:tcPr>
            <w:tcW w:w="865"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2005</w:t>
            </w:r>
          </w:p>
        </w:tc>
        <w:tc>
          <w:tcPr>
            <w:tcW w:w="802"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54</w:t>
            </w:r>
          </w:p>
        </w:tc>
        <w:tc>
          <w:tcPr>
            <w:tcW w:w="741"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17%</w:t>
            </w:r>
          </w:p>
        </w:tc>
        <w:tc>
          <w:tcPr>
            <w:tcW w:w="924" w:type="pct"/>
            <w:tcBorders>
              <w:top w:val="single" w:sz="4" w:space="0" w:color="auto"/>
              <w:left w:val="nil"/>
              <w:bottom w:val="single" w:sz="4" w:space="0" w:color="auto"/>
              <w:right w:val="single" w:sz="8" w:space="0" w:color="auto"/>
            </w:tcBorders>
            <w:shd w:val="clear" w:color="auto" w:fill="CCFFCC"/>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80%</w:t>
            </w:r>
          </w:p>
        </w:tc>
      </w:tr>
      <w:tr w:rsidR="004D16B8" w:rsidRPr="0024008B" w:rsidTr="00992125">
        <w:trPr>
          <w:trHeight w:val="134"/>
        </w:trPr>
        <w:tc>
          <w:tcPr>
            <w:tcW w:w="1668" w:type="pct"/>
            <w:tcBorders>
              <w:top w:val="single" w:sz="4" w:space="0" w:color="auto"/>
              <w:left w:val="single" w:sz="8" w:space="0" w:color="auto"/>
              <w:bottom w:val="single" w:sz="4" w:space="0" w:color="auto"/>
              <w:right w:val="single" w:sz="4" w:space="0" w:color="auto"/>
            </w:tcBorders>
            <w:shd w:val="clear" w:color="auto" w:fill="99CC00"/>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5</w:t>
            </w:r>
          </w:p>
        </w:tc>
        <w:tc>
          <w:tcPr>
            <w:tcW w:w="865"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2005</w:t>
            </w:r>
          </w:p>
        </w:tc>
        <w:tc>
          <w:tcPr>
            <w:tcW w:w="802"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82</w:t>
            </w:r>
          </w:p>
        </w:tc>
        <w:tc>
          <w:tcPr>
            <w:tcW w:w="741" w:type="pct"/>
            <w:tcBorders>
              <w:top w:val="single" w:sz="4" w:space="0" w:color="auto"/>
              <w:left w:val="nil"/>
              <w:bottom w:val="single" w:sz="4" w:space="0" w:color="auto"/>
              <w:right w:val="single" w:sz="4" w:space="0" w:color="auto"/>
            </w:tcBorders>
            <w:shd w:val="clear" w:color="auto" w:fill="99CC00"/>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18%</w:t>
            </w:r>
          </w:p>
        </w:tc>
        <w:tc>
          <w:tcPr>
            <w:tcW w:w="924" w:type="pct"/>
            <w:tcBorders>
              <w:top w:val="single" w:sz="4" w:space="0" w:color="auto"/>
              <w:left w:val="nil"/>
              <w:bottom w:val="single" w:sz="4" w:space="0" w:color="auto"/>
              <w:right w:val="single" w:sz="8" w:space="0" w:color="auto"/>
            </w:tcBorders>
            <w:shd w:val="clear" w:color="auto" w:fill="99CC00"/>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65%</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CCFFCC"/>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6</w:t>
            </w:r>
          </w:p>
        </w:tc>
        <w:tc>
          <w:tcPr>
            <w:tcW w:w="865"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2006</w:t>
            </w:r>
          </w:p>
        </w:tc>
        <w:tc>
          <w:tcPr>
            <w:tcW w:w="802"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67</w:t>
            </w:r>
          </w:p>
        </w:tc>
        <w:tc>
          <w:tcPr>
            <w:tcW w:w="741"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15%</w:t>
            </w:r>
          </w:p>
        </w:tc>
        <w:tc>
          <w:tcPr>
            <w:tcW w:w="924" w:type="pct"/>
            <w:tcBorders>
              <w:top w:val="single" w:sz="4" w:space="0" w:color="auto"/>
              <w:left w:val="nil"/>
              <w:bottom w:val="single" w:sz="4" w:space="0" w:color="auto"/>
              <w:right w:val="single" w:sz="8" w:space="0" w:color="auto"/>
            </w:tcBorders>
            <w:shd w:val="clear" w:color="auto" w:fill="CCFFCC"/>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66%</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99CC00"/>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7</w:t>
            </w:r>
          </w:p>
        </w:tc>
        <w:tc>
          <w:tcPr>
            <w:tcW w:w="865"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2006</w:t>
            </w:r>
          </w:p>
        </w:tc>
        <w:tc>
          <w:tcPr>
            <w:tcW w:w="802"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83</w:t>
            </w:r>
          </w:p>
        </w:tc>
        <w:tc>
          <w:tcPr>
            <w:tcW w:w="741" w:type="pct"/>
            <w:tcBorders>
              <w:top w:val="single" w:sz="4" w:space="0" w:color="auto"/>
              <w:left w:val="nil"/>
              <w:bottom w:val="single" w:sz="4" w:space="0" w:color="auto"/>
              <w:right w:val="single" w:sz="4" w:space="0" w:color="auto"/>
            </w:tcBorders>
            <w:shd w:val="clear" w:color="auto" w:fill="99CC00"/>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10%</w:t>
            </w:r>
          </w:p>
        </w:tc>
        <w:tc>
          <w:tcPr>
            <w:tcW w:w="924" w:type="pct"/>
            <w:tcBorders>
              <w:top w:val="single" w:sz="4" w:space="0" w:color="auto"/>
              <w:left w:val="nil"/>
              <w:bottom w:val="single" w:sz="4" w:space="0" w:color="auto"/>
              <w:right w:val="single" w:sz="8" w:space="0" w:color="auto"/>
            </w:tcBorders>
            <w:shd w:val="clear" w:color="auto" w:fill="99CC00"/>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87%</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CCFFCC"/>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8</w:t>
            </w:r>
          </w:p>
        </w:tc>
        <w:tc>
          <w:tcPr>
            <w:tcW w:w="865"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2007</w:t>
            </w:r>
          </w:p>
        </w:tc>
        <w:tc>
          <w:tcPr>
            <w:tcW w:w="802"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49</w:t>
            </w:r>
          </w:p>
        </w:tc>
        <w:tc>
          <w:tcPr>
            <w:tcW w:w="741"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16%</w:t>
            </w:r>
          </w:p>
        </w:tc>
        <w:tc>
          <w:tcPr>
            <w:tcW w:w="924" w:type="pct"/>
            <w:tcBorders>
              <w:top w:val="single" w:sz="4" w:space="0" w:color="auto"/>
              <w:left w:val="nil"/>
              <w:bottom w:val="single" w:sz="4" w:space="0" w:color="auto"/>
              <w:right w:val="single" w:sz="8" w:space="0" w:color="auto"/>
            </w:tcBorders>
            <w:shd w:val="clear" w:color="auto" w:fill="CCFFCC"/>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94%</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99CC00"/>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9</w:t>
            </w:r>
          </w:p>
        </w:tc>
        <w:tc>
          <w:tcPr>
            <w:tcW w:w="865"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2008</w:t>
            </w:r>
          </w:p>
        </w:tc>
        <w:tc>
          <w:tcPr>
            <w:tcW w:w="802" w:type="pct"/>
            <w:tcBorders>
              <w:top w:val="single" w:sz="4" w:space="0" w:color="auto"/>
              <w:left w:val="nil"/>
              <w:bottom w:val="single" w:sz="4" w:space="0" w:color="auto"/>
              <w:right w:val="single" w:sz="4" w:space="0" w:color="auto"/>
            </w:tcBorders>
            <w:shd w:val="clear" w:color="auto" w:fill="99CC00"/>
            <w:noWrap/>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39</w:t>
            </w:r>
          </w:p>
        </w:tc>
        <w:tc>
          <w:tcPr>
            <w:tcW w:w="741" w:type="pct"/>
            <w:tcBorders>
              <w:top w:val="single" w:sz="4" w:space="0" w:color="auto"/>
              <w:left w:val="nil"/>
              <w:bottom w:val="single" w:sz="4" w:space="0" w:color="auto"/>
              <w:right w:val="single" w:sz="4" w:space="0" w:color="auto"/>
            </w:tcBorders>
            <w:shd w:val="clear" w:color="auto" w:fill="99CC00"/>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21%</w:t>
            </w:r>
          </w:p>
        </w:tc>
        <w:tc>
          <w:tcPr>
            <w:tcW w:w="924" w:type="pct"/>
            <w:tcBorders>
              <w:top w:val="single" w:sz="4" w:space="0" w:color="auto"/>
              <w:left w:val="nil"/>
              <w:bottom w:val="single" w:sz="4" w:space="0" w:color="auto"/>
              <w:right w:val="single" w:sz="8" w:space="0" w:color="auto"/>
            </w:tcBorders>
            <w:shd w:val="clear" w:color="auto" w:fill="99CC00"/>
            <w:noWrap/>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82%</w:t>
            </w:r>
          </w:p>
        </w:tc>
      </w:tr>
      <w:tr w:rsidR="004D16B8" w:rsidRPr="0024008B" w:rsidTr="00852352">
        <w:trPr>
          <w:trHeight w:val="202"/>
        </w:trPr>
        <w:tc>
          <w:tcPr>
            <w:tcW w:w="1668" w:type="pct"/>
            <w:tcBorders>
              <w:top w:val="single" w:sz="4" w:space="0" w:color="auto"/>
              <w:left w:val="single" w:sz="8" w:space="0" w:color="auto"/>
              <w:bottom w:val="single" w:sz="4" w:space="0" w:color="auto"/>
              <w:right w:val="single" w:sz="4" w:space="0" w:color="auto"/>
            </w:tcBorders>
            <w:shd w:val="clear" w:color="auto" w:fill="CCFFCC"/>
            <w:vAlign w:val="center"/>
          </w:tcPr>
          <w:p w:rsidR="004D16B8" w:rsidRPr="0024008B" w:rsidRDefault="004D16B8" w:rsidP="00433FC8">
            <w:pPr>
              <w:ind w:left="132" w:right="432"/>
              <w:rPr>
                <w:rFonts w:ascii="Gotham Light" w:hAnsi="Gotham Light" w:cs="Arial"/>
                <w:color w:val="000000"/>
                <w:sz w:val="21"/>
                <w:szCs w:val="21"/>
              </w:rPr>
            </w:pPr>
            <w:r w:rsidRPr="0024008B">
              <w:rPr>
                <w:rFonts w:ascii="Gotham Light" w:hAnsi="Gotham Light" w:cs="Arial"/>
                <w:color w:val="000000"/>
                <w:sz w:val="21"/>
                <w:szCs w:val="21"/>
              </w:rPr>
              <w:t>University 10</w:t>
            </w:r>
          </w:p>
        </w:tc>
        <w:tc>
          <w:tcPr>
            <w:tcW w:w="865" w:type="pct"/>
            <w:tcBorders>
              <w:top w:val="single" w:sz="4" w:space="0" w:color="auto"/>
              <w:left w:val="nil"/>
              <w:bottom w:val="single" w:sz="4" w:space="0" w:color="auto"/>
              <w:right w:val="single" w:sz="4" w:space="0" w:color="auto"/>
            </w:tcBorders>
            <w:shd w:val="clear" w:color="auto" w:fill="CCFFCC"/>
            <w:noWrap/>
            <w:vAlign w:val="center"/>
          </w:tcPr>
          <w:p w:rsidR="004D16B8" w:rsidRPr="0024008B" w:rsidRDefault="004D16B8" w:rsidP="00433FC8">
            <w:pPr>
              <w:ind w:left="-108" w:right="-108"/>
              <w:jc w:val="center"/>
              <w:rPr>
                <w:rFonts w:ascii="Gotham Light" w:hAnsi="Gotham Light" w:cs="Arial"/>
                <w:color w:val="000000"/>
                <w:sz w:val="21"/>
                <w:szCs w:val="21"/>
              </w:rPr>
            </w:pPr>
            <w:r w:rsidRPr="0024008B">
              <w:rPr>
                <w:rFonts w:ascii="Gotham Light" w:hAnsi="Gotham Light" w:cs="Arial"/>
                <w:color w:val="000000"/>
                <w:sz w:val="21"/>
                <w:szCs w:val="21"/>
              </w:rPr>
              <w:t>2008</w:t>
            </w:r>
          </w:p>
        </w:tc>
        <w:tc>
          <w:tcPr>
            <w:tcW w:w="802"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tabs>
                <w:tab w:val="decimal" w:pos="432"/>
              </w:tabs>
              <w:ind w:left="-108"/>
              <w:jc w:val="center"/>
              <w:rPr>
                <w:rFonts w:ascii="Gotham Light" w:hAnsi="Gotham Light" w:cs="Arial"/>
                <w:color w:val="000000"/>
                <w:sz w:val="21"/>
                <w:szCs w:val="21"/>
              </w:rPr>
            </w:pPr>
            <w:r w:rsidRPr="0024008B">
              <w:rPr>
                <w:rFonts w:ascii="Gotham Light" w:hAnsi="Gotham Light" w:cs="Arial"/>
                <w:color w:val="000000"/>
                <w:sz w:val="21"/>
                <w:szCs w:val="21"/>
              </w:rPr>
              <w:t>40</w:t>
            </w:r>
          </w:p>
        </w:tc>
        <w:tc>
          <w:tcPr>
            <w:tcW w:w="741" w:type="pct"/>
            <w:tcBorders>
              <w:top w:val="single" w:sz="4" w:space="0" w:color="auto"/>
              <w:left w:val="nil"/>
              <w:bottom w:val="single" w:sz="4" w:space="0" w:color="auto"/>
              <w:right w:val="single" w:sz="4" w:space="0" w:color="auto"/>
            </w:tcBorders>
            <w:shd w:val="clear" w:color="auto" w:fill="CCFFCC"/>
            <w:vAlign w:val="center"/>
          </w:tcPr>
          <w:p w:rsidR="004D16B8" w:rsidRPr="0024008B" w:rsidRDefault="004D16B8" w:rsidP="00433FC8">
            <w:pPr>
              <w:ind w:left="-108" w:right="-109"/>
              <w:jc w:val="center"/>
              <w:rPr>
                <w:rFonts w:ascii="Gotham Light" w:hAnsi="Gotham Light" w:cs="Arial"/>
                <w:color w:val="000000"/>
                <w:sz w:val="21"/>
                <w:szCs w:val="21"/>
              </w:rPr>
            </w:pPr>
            <w:r w:rsidRPr="0024008B">
              <w:rPr>
                <w:rFonts w:ascii="Gotham Light" w:hAnsi="Gotham Light" w:cs="Arial"/>
                <w:color w:val="000000"/>
                <w:sz w:val="21"/>
                <w:szCs w:val="21"/>
              </w:rPr>
              <w:t>15%</w:t>
            </w:r>
          </w:p>
        </w:tc>
        <w:tc>
          <w:tcPr>
            <w:tcW w:w="924" w:type="pct"/>
            <w:tcBorders>
              <w:top w:val="single" w:sz="4" w:space="0" w:color="auto"/>
              <w:left w:val="nil"/>
              <w:bottom w:val="single" w:sz="4" w:space="0" w:color="auto"/>
              <w:right w:val="single" w:sz="8" w:space="0" w:color="auto"/>
            </w:tcBorders>
            <w:shd w:val="clear" w:color="auto" w:fill="CCFFCC"/>
            <w:vAlign w:val="center"/>
          </w:tcPr>
          <w:p w:rsidR="004D16B8" w:rsidRPr="0024008B" w:rsidRDefault="004D16B8" w:rsidP="00433FC8">
            <w:pPr>
              <w:ind w:left="-107" w:right="-150"/>
              <w:jc w:val="center"/>
              <w:rPr>
                <w:rFonts w:ascii="Gotham Light" w:hAnsi="Gotham Light" w:cs="Arial"/>
                <w:color w:val="000000"/>
                <w:sz w:val="21"/>
                <w:szCs w:val="21"/>
              </w:rPr>
            </w:pPr>
            <w:r w:rsidRPr="0024008B">
              <w:rPr>
                <w:rFonts w:ascii="Gotham Light" w:hAnsi="Gotham Light" w:cs="Arial"/>
                <w:color w:val="000000"/>
                <w:sz w:val="21"/>
                <w:szCs w:val="21"/>
              </w:rPr>
              <w:t>100%</w:t>
            </w:r>
          </w:p>
        </w:tc>
      </w:tr>
      <w:tr w:rsidR="004D16B8" w:rsidRPr="00852352" w:rsidTr="00852352">
        <w:trPr>
          <w:trHeight w:val="202"/>
        </w:trPr>
        <w:tc>
          <w:tcPr>
            <w:tcW w:w="1668" w:type="pct"/>
            <w:tcBorders>
              <w:top w:val="single" w:sz="4" w:space="0" w:color="auto"/>
              <w:left w:val="single" w:sz="8" w:space="0" w:color="auto"/>
              <w:bottom w:val="single" w:sz="8" w:space="0" w:color="auto"/>
              <w:right w:val="single" w:sz="4" w:space="0" w:color="auto"/>
            </w:tcBorders>
            <w:shd w:val="clear" w:color="000000" w:fill="3366FF"/>
            <w:noWrap/>
            <w:vAlign w:val="center"/>
          </w:tcPr>
          <w:p w:rsidR="004D16B8" w:rsidRPr="00852352" w:rsidRDefault="004D16B8" w:rsidP="00852352">
            <w:pPr>
              <w:ind w:left="132" w:right="432"/>
              <w:rPr>
                <w:rFonts w:ascii="Gotham Light" w:hAnsi="Gotham Light" w:cs="Arial"/>
                <w:b/>
                <w:bCs/>
                <w:color w:val="FFFFFF"/>
                <w:sz w:val="21"/>
                <w:szCs w:val="21"/>
              </w:rPr>
            </w:pPr>
            <w:r>
              <w:rPr>
                <w:rFonts w:ascii="Gotham Light" w:hAnsi="Gotham Light" w:cs="Arial"/>
                <w:color w:val="FFFFFF"/>
                <w:sz w:val="21"/>
                <w:szCs w:val="21"/>
              </w:rPr>
              <w:t xml:space="preserve">Community College </w:t>
            </w:r>
            <w:r w:rsidRPr="00852352">
              <w:rPr>
                <w:rFonts w:ascii="Gotham Light" w:hAnsi="Gotham Light" w:cs="Arial"/>
                <w:color w:val="FFFFFF"/>
                <w:sz w:val="21"/>
                <w:szCs w:val="21"/>
              </w:rPr>
              <w:t>1</w:t>
            </w:r>
          </w:p>
        </w:tc>
        <w:tc>
          <w:tcPr>
            <w:tcW w:w="865" w:type="pct"/>
            <w:tcBorders>
              <w:top w:val="single" w:sz="4" w:space="0" w:color="auto"/>
              <w:left w:val="nil"/>
              <w:bottom w:val="single" w:sz="8" w:space="0" w:color="auto"/>
              <w:right w:val="single" w:sz="4" w:space="0" w:color="auto"/>
            </w:tcBorders>
            <w:shd w:val="clear" w:color="000000" w:fill="3366FF"/>
            <w:noWrap/>
            <w:vAlign w:val="center"/>
          </w:tcPr>
          <w:p w:rsidR="004D16B8" w:rsidRPr="00852352" w:rsidRDefault="004D16B8" w:rsidP="00852352">
            <w:pPr>
              <w:ind w:left="-108" w:right="-108"/>
              <w:jc w:val="center"/>
              <w:rPr>
                <w:rFonts w:ascii="Gotham Light" w:hAnsi="Gotham Light" w:cs="Arial"/>
                <w:b/>
                <w:bCs/>
                <w:color w:val="FFFFFF"/>
                <w:sz w:val="21"/>
                <w:szCs w:val="21"/>
              </w:rPr>
            </w:pPr>
            <w:r w:rsidRPr="00852352">
              <w:rPr>
                <w:rFonts w:ascii="Gotham Light" w:hAnsi="Gotham Light" w:cs="Arial"/>
                <w:color w:val="FFFFFF"/>
                <w:sz w:val="21"/>
                <w:szCs w:val="21"/>
              </w:rPr>
              <w:t>2002</w:t>
            </w:r>
          </w:p>
        </w:tc>
        <w:tc>
          <w:tcPr>
            <w:tcW w:w="802" w:type="pct"/>
            <w:tcBorders>
              <w:top w:val="single" w:sz="4" w:space="0" w:color="auto"/>
              <w:left w:val="nil"/>
              <w:bottom w:val="single" w:sz="8" w:space="0" w:color="auto"/>
              <w:right w:val="single" w:sz="4" w:space="0" w:color="auto"/>
            </w:tcBorders>
            <w:shd w:val="clear" w:color="000000" w:fill="3366FF"/>
            <w:noWrap/>
            <w:vAlign w:val="center"/>
          </w:tcPr>
          <w:p w:rsidR="004D16B8" w:rsidRPr="00852352" w:rsidRDefault="004D16B8" w:rsidP="00852352">
            <w:pPr>
              <w:ind w:left="-108" w:right="-188"/>
              <w:jc w:val="center"/>
              <w:rPr>
                <w:rFonts w:ascii="Gotham Light" w:hAnsi="Gotham Light" w:cs="Arial"/>
                <w:b/>
                <w:bCs/>
                <w:color w:val="FFFFFF"/>
                <w:sz w:val="21"/>
                <w:szCs w:val="21"/>
              </w:rPr>
            </w:pPr>
            <w:r w:rsidRPr="00852352">
              <w:rPr>
                <w:rFonts w:ascii="Gotham Light" w:hAnsi="Gotham Light" w:cs="Arial"/>
                <w:color w:val="FFFFFF"/>
                <w:sz w:val="21"/>
                <w:szCs w:val="21"/>
              </w:rPr>
              <w:t>78</w:t>
            </w:r>
          </w:p>
        </w:tc>
        <w:tc>
          <w:tcPr>
            <w:tcW w:w="741" w:type="pct"/>
            <w:tcBorders>
              <w:top w:val="single" w:sz="4" w:space="0" w:color="auto"/>
              <w:left w:val="nil"/>
              <w:bottom w:val="single" w:sz="8" w:space="0" w:color="auto"/>
              <w:right w:val="single" w:sz="4" w:space="0" w:color="auto"/>
            </w:tcBorders>
            <w:shd w:val="clear" w:color="000000" w:fill="3366FF"/>
            <w:vAlign w:val="center"/>
          </w:tcPr>
          <w:p w:rsidR="004D16B8" w:rsidRPr="00852352" w:rsidRDefault="004D16B8" w:rsidP="00852352">
            <w:pPr>
              <w:ind w:left="-108" w:right="-109"/>
              <w:jc w:val="center"/>
              <w:rPr>
                <w:rFonts w:ascii="Gotham Light" w:hAnsi="Gotham Light" w:cs="Arial"/>
                <w:b/>
                <w:bCs/>
                <w:color w:val="FFFFFF"/>
                <w:sz w:val="21"/>
                <w:szCs w:val="21"/>
              </w:rPr>
            </w:pPr>
            <w:r w:rsidRPr="00852352">
              <w:rPr>
                <w:rFonts w:ascii="Gotham Light" w:hAnsi="Gotham Light" w:cs="Arial"/>
                <w:color w:val="FFFFFF"/>
                <w:sz w:val="21"/>
                <w:szCs w:val="21"/>
              </w:rPr>
              <w:t>14%</w:t>
            </w:r>
          </w:p>
        </w:tc>
        <w:tc>
          <w:tcPr>
            <w:tcW w:w="924" w:type="pct"/>
            <w:tcBorders>
              <w:top w:val="single" w:sz="4" w:space="0" w:color="auto"/>
              <w:left w:val="nil"/>
              <w:bottom w:val="single" w:sz="8" w:space="0" w:color="auto"/>
              <w:right w:val="single" w:sz="8" w:space="0" w:color="auto"/>
            </w:tcBorders>
            <w:shd w:val="clear" w:color="000000" w:fill="3366FF"/>
            <w:noWrap/>
            <w:vAlign w:val="center"/>
          </w:tcPr>
          <w:p w:rsidR="004D16B8" w:rsidRPr="00852352" w:rsidRDefault="004D16B8" w:rsidP="00852352">
            <w:pPr>
              <w:ind w:left="-107" w:right="-150"/>
              <w:jc w:val="center"/>
              <w:rPr>
                <w:rFonts w:ascii="Gotham Light" w:hAnsi="Gotham Light" w:cs="Arial"/>
                <w:b/>
                <w:bCs/>
                <w:color w:val="FFFFFF"/>
                <w:sz w:val="21"/>
                <w:szCs w:val="21"/>
              </w:rPr>
            </w:pPr>
            <w:r w:rsidRPr="00852352">
              <w:rPr>
                <w:rFonts w:ascii="Gotham Light" w:hAnsi="Gotham Light" w:cs="Arial"/>
                <w:color w:val="FFFFFF"/>
                <w:sz w:val="21"/>
                <w:szCs w:val="21"/>
              </w:rPr>
              <w:t>50%</w:t>
            </w:r>
          </w:p>
        </w:tc>
      </w:tr>
      <w:tr w:rsidR="004D16B8" w:rsidRPr="0024008B" w:rsidTr="00852352">
        <w:trPr>
          <w:trHeight w:val="202"/>
        </w:trPr>
        <w:tc>
          <w:tcPr>
            <w:tcW w:w="1668" w:type="pct"/>
            <w:tcBorders>
              <w:top w:val="single" w:sz="8" w:space="0" w:color="auto"/>
              <w:left w:val="single" w:sz="8" w:space="0" w:color="auto"/>
              <w:bottom w:val="single" w:sz="8" w:space="0" w:color="auto"/>
              <w:right w:val="single" w:sz="4" w:space="0" w:color="auto"/>
            </w:tcBorders>
            <w:shd w:val="clear" w:color="000000" w:fill="99CCFF"/>
            <w:noWrap/>
            <w:vAlign w:val="center"/>
          </w:tcPr>
          <w:p w:rsidR="004D16B8" w:rsidRPr="0024008B" w:rsidRDefault="004D16B8" w:rsidP="00852352">
            <w:pPr>
              <w:ind w:left="132" w:right="432"/>
              <w:rPr>
                <w:rFonts w:ascii="Gotham Light" w:hAnsi="Gotham Light" w:cs="Arial"/>
                <w:b/>
                <w:bCs/>
                <w:color w:val="000000"/>
                <w:sz w:val="21"/>
                <w:szCs w:val="21"/>
              </w:rPr>
            </w:pPr>
            <w:r>
              <w:rPr>
                <w:rFonts w:ascii="Gotham Light" w:hAnsi="Gotham Light" w:cs="Arial"/>
                <w:color w:val="000000"/>
                <w:sz w:val="21"/>
                <w:szCs w:val="21"/>
              </w:rPr>
              <w:t>Community College</w:t>
            </w:r>
            <w:r w:rsidRPr="0024008B">
              <w:rPr>
                <w:rFonts w:ascii="Gotham Light" w:hAnsi="Gotham Light" w:cs="Arial"/>
                <w:color w:val="000000"/>
                <w:sz w:val="21"/>
                <w:szCs w:val="21"/>
              </w:rPr>
              <w:t xml:space="preserve"> 2</w:t>
            </w:r>
          </w:p>
        </w:tc>
        <w:tc>
          <w:tcPr>
            <w:tcW w:w="865" w:type="pct"/>
            <w:tcBorders>
              <w:top w:val="single" w:sz="8" w:space="0" w:color="auto"/>
              <w:left w:val="nil"/>
              <w:bottom w:val="single" w:sz="8" w:space="0" w:color="auto"/>
              <w:right w:val="single" w:sz="4" w:space="0" w:color="auto"/>
            </w:tcBorders>
            <w:shd w:val="clear" w:color="000000" w:fill="99CCFF"/>
            <w:noWrap/>
            <w:vAlign w:val="center"/>
          </w:tcPr>
          <w:p w:rsidR="004D16B8" w:rsidRPr="0024008B" w:rsidRDefault="004D16B8" w:rsidP="00852352">
            <w:pPr>
              <w:ind w:left="-108" w:right="-108"/>
              <w:jc w:val="center"/>
              <w:rPr>
                <w:rFonts w:ascii="Gotham Light" w:hAnsi="Gotham Light" w:cs="Arial"/>
                <w:b/>
                <w:bCs/>
                <w:color w:val="000000"/>
                <w:sz w:val="21"/>
                <w:szCs w:val="21"/>
              </w:rPr>
            </w:pPr>
            <w:r w:rsidRPr="0024008B">
              <w:rPr>
                <w:rFonts w:ascii="Gotham Light" w:hAnsi="Gotham Light" w:cs="Arial"/>
                <w:color w:val="000000"/>
                <w:sz w:val="21"/>
                <w:szCs w:val="21"/>
              </w:rPr>
              <w:t>2008</w:t>
            </w:r>
          </w:p>
        </w:tc>
        <w:tc>
          <w:tcPr>
            <w:tcW w:w="802" w:type="pct"/>
            <w:tcBorders>
              <w:top w:val="single" w:sz="8" w:space="0" w:color="auto"/>
              <w:left w:val="nil"/>
              <w:bottom w:val="single" w:sz="8" w:space="0" w:color="auto"/>
              <w:right w:val="single" w:sz="4" w:space="0" w:color="auto"/>
            </w:tcBorders>
            <w:shd w:val="clear" w:color="000000" w:fill="99CCFF"/>
            <w:noWrap/>
            <w:vAlign w:val="center"/>
          </w:tcPr>
          <w:p w:rsidR="004D16B8" w:rsidRPr="0024008B" w:rsidRDefault="004D16B8" w:rsidP="00852352">
            <w:pPr>
              <w:ind w:left="-108" w:right="-188"/>
              <w:jc w:val="center"/>
              <w:rPr>
                <w:rFonts w:ascii="Gotham Light" w:hAnsi="Gotham Light" w:cs="Arial"/>
                <w:b/>
                <w:bCs/>
                <w:color w:val="000000"/>
                <w:sz w:val="21"/>
                <w:szCs w:val="21"/>
              </w:rPr>
            </w:pPr>
            <w:r w:rsidRPr="0024008B">
              <w:rPr>
                <w:rFonts w:ascii="Gotham Light" w:hAnsi="Gotham Light" w:cs="Arial"/>
                <w:color w:val="000000"/>
                <w:sz w:val="21"/>
                <w:szCs w:val="21"/>
              </w:rPr>
              <w:t>335</w:t>
            </w:r>
          </w:p>
        </w:tc>
        <w:tc>
          <w:tcPr>
            <w:tcW w:w="741" w:type="pct"/>
            <w:tcBorders>
              <w:top w:val="single" w:sz="8" w:space="0" w:color="auto"/>
              <w:left w:val="nil"/>
              <w:bottom w:val="single" w:sz="8" w:space="0" w:color="auto"/>
              <w:right w:val="single" w:sz="4" w:space="0" w:color="auto"/>
            </w:tcBorders>
            <w:shd w:val="clear" w:color="000000" w:fill="99CCFF"/>
            <w:vAlign w:val="center"/>
          </w:tcPr>
          <w:p w:rsidR="004D16B8" w:rsidRPr="0024008B" w:rsidRDefault="004D16B8" w:rsidP="00852352">
            <w:pPr>
              <w:ind w:left="-108" w:right="-109"/>
              <w:jc w:val="center"/>
              <w:rPr>
                <w:rFonts w:ascii="Gotham Light" w:hAnsi="Gotham Light" w:cs="Arial"/>
                <w:b/>
                <w:bCs/>
                <w:color w:val="000000"/>
                <w:sz w:val="21"/>
                <w:szCs w:val="21"/>
              </w:rPr>
            </w:pPr>
            <w:r w:rsidRPr="0024008B">
              <w:rPr>
                <w:rFonts w:ascii="Gotham Light" w:hAnsi="Gotham Light" w:cs="Arial"/>
                <w:color w:val="000000"/>
                <w:sz w:val="21"/>
                <w:szCs w:val="21"/>
              </w:rPr>
              <w:t>10%</w:t>
            </w:r>
          </w:p>
        </w:tc>
        <w:tc>
          <w:tcPr>
            <w:tcW w:w="924" w:type="pct"/>
            <w:tcBorders>
              <w:top w:val="single" w:sz="8" w:space="0" w:color="auto"/>
              <w:left w:val="nil"/>
              <w:bottom w:val="single" w:sz="8" w:space="0" w:color="auto"/>
              <w:right w:val="single" w:sz="8" w:space="0" w:color="auto"/>
            </w:tcBorders>
            <w:shd w:val="clear" w:color="000000" w:fill="99CCFF"/>
            <w:noWrap/>
            <w:vAlign w:val="center"/>
          </w:tcPr>
          <w:p w:rsidR="004D16B8" w:rsidRPr="0024008B" w:rsidRDefault="004D16B8" w:rsidP="00852352">
            <w:pPr>
              <w:ind w:left="-107" w:right="-150"/>
              <w:jc w:val="center"/>
              <w:rPr>
                <w:rFonts w:ascii="Gotham Light" w:hAnsi="Gotham Light" w:cs="Arial"/>
                <w:b/>
                <w:bCs/>
                <w:color w:val="000000"/>
                <w:sz w:val="21"/>
                <w:szCs w:val="21"/>
              </w:rPr>
            </w:pPr>
            <w:r w:rsidRPr="0024008B">
              <w:rPr>
                <w:rFonts w:ascii="Gotham Light" w:hAnsi="Gotham Light" w:cs="Arial"/>
                <w:color w:val="000000"/>
                <w:sz w:val="21"/>
                <w:szCs w:val="21"/>
              </w:rPr>
              <w:t>64%</w:t>
            </w:r>
          </w:p>
        </w:tc>
      </w:tr>
      <w:tr w:rsidR="004D16B8" w:rsidRPr="0024008B" w:rsidTr="00852352">
        <w:trPr>
          <w:trHeight w:val="202"/>
        </w:trPr>
        <w:tc>
          <w:tcPr>
            <w:tcW w:w="1668" w:type="pct"/>
            <w:tcBorders>
              <w:top w:val="single" w:sz="8" w:space="0" w:color="auto"/>
              <w:left w:val="single" w:sz="8" w:space="0" w:color="auto"/>
              <w:bottom w:val="single" w:sz="8" w:space="0" w:color="auto"/>
              <w:right w:val="single" w:sz="4" w:space="0" w:color="auto"/>
            </w:tcBorders>
            <w:shd w:val="clear" w:color="000000" w:fill="3366FF"/>
            <w:noWrap/>
            <w:vAlign w:val="center"/>
          </w:tcPr>
          <w:p w:rsidR="004D16B8" w:rsidRPr="0024008B" w:rsidRDefault="004D16B8" w:rsidP="00852352">
            <w:pPr>
              <w:ind w:left="132" w:right="432"/>
              <w:rPr>
                <w:rFonts w:ascii="Gotham Light" w:hAnsi="Gotham Light" w:cs="Arial"/>
                <w:b/>
                <w:bCs/>
                <w:color w:val="000000"/>
                <w:sz w:val="21"/>
                <w:szCs w:val="21"/>
              </w:rPr>
            </w:pPr>
            <w:r w:rsidRPr="00BE120C">
              <w:rPr>
                <w:rFonts w:ascii="Gotham Light" w:hAnsi="Gotham Light" w:cs="Arial"/>
                <w:color w:val="FFFFFF"/>
                <w:sz w:val="21"/>
                <w:szCs w:val="21"/>
              </w:rPr>
              <w:t>Community College</w:t>
            </w:r>
            <w:r w:rsidRPr="0024008B">
              <w:rPr>
                <w:rFonts w:ascii="Gotham Light" w:hAnsi="Gotham Light" w:cs="Arial"/>
                <w:color w:val="000000"/>
                <w:sz w:val="21"/>
                <w:szCs w:val="21"/>
              </w:rPr>
              <w:t xml:space="preserve"> </w:t>
            </w:r>
            <w:r w:rsidRPr="00BE120C">
              <w:rPr>
                <w:rFonts w:ascii="Gotham Light" w:hAnsi="Gotham Light" w:cs="Arial"/>
                <w:color w:val="FFFFFF"/>
                <w:sz w:val="21"/>
                <w:szCs w:val="21"/>
              </w:rPr>
              <w:t>3</w:t>
            </w:r>
          </w:p>
        </w:tc>
        <w:tc>
          <w:tcPr>
            <w:tcW w:w="865" w:type="pct"/>
            <w:tcBorders>
              <w:top w:val="single" w:sz="8" w:space="0" w:color="auto"/>
              <w:left w:val="nil"/>
              <w:bottom w:val="single" w:sz="8" w:space="0" w:color="auto"/>
              <w:right w:val="single" w:sz="4" w:space="0" w:color="auto"/>
            </w:tcBorders>
            <w:shd w:val="clear" w:color="000000" w:fill="3366FF"/>
            <w:noWrap/>
            <w:vAlign w:val="center"/>
          </w:tcPr>
          <w:p w:rsidR="004D16B8" w:rsidRPr="00BE120C" w:rsidRDefault="004D16B8" w:rsidP="00852352">
            <w:pPr>
              <w:ind w:left="-108" w:right="-108"/>
              <w:jc w:val="center"/>
              <w:rPr>
                <w:rFonts w:ascii="Gotham Light" w:hAnsi="Gotham Light" w:cs="Arial"/>
                <w:b/>
                <w:bCs/>
                <w:color w:val="FFFFFF"/>
                <w:sz w:val="21"/>
                <w:szCs w:val="21"/>
              </w:rPr>
            </w:pPr>
            <w:r w:rsidRPr="00BE120C">
              <w:rPr>
                <w:rFonts w:ascii="Gotham Light" w:hAnsi="Gotham Light" w:cs="Arial"/>
                <w:color w:val="FFFFFF"/>
                <w:sz w:val="21"/>
                <w:szCs w:val="21"/>
              </w:rPr>
              <w:t>2008</w:t>
            </w:r>
          </w:p>
        </w:tc>
        <w:tc>
          <w:tcPr>
            <w:tcW w:w="802" w:type="pct"/>
            <w:tcBorders>
              <w:top w:val="single" w:sz="8" w:space="0" w:color="auto"/>
              <w:left w:val="nil"/>
              <w:bottom w:val="single" w:sz="8" w:space="0" w:color="auto"/>
              <w:right w:val="single" w:sz="4" w:space="0" w:color="auto"/>
            </w:tcBorders>
            <w:shd w:val="clear" w:color="000000" w:fill="3366FF"/>
            <w:noWrap/>
            <w:vAlign w:val="center"/>
          </w:tcPr>
          <w:p w:rsidR="004D16B8" w:rsidRPr="00BE120C" w:rsidRDefault="004D16B8" w:rsidP="00852352">
            <w:pPr>
              <w:ind w:left="-108" w:right="-188"/>
              <w:jc w:val="center"/>
              <w:rPr>
                <w:rFonts w:ascii="Gotham Light" w:hAnsi="Gotham Light" w:cs="Arial"/>
                <w:b/>
                <w:bCs/>
                <w:color w:val="FFFFFF"/>
                <w:sz w:val="21"/>
                <w:szCs w:val="21"/>
              </w:rPr>
            </w:pPr>
            <w:r w:rsidRPr="00BE120C">
              <w:rPr>
                <w:rFonts w:ascii="Gotham Light" w:hAnsi="Gotham Light" w:cs="Arial"/>
                <w:color w:val="FFFFFF"/>
                <w:sz w:val="21"/>
                <w:szCs w:val="21"/>
              </w:rPr>
              <w:t>77</w:t>
            </w:r>
          </w:p>
        </w:tc>
        <w:tc>
          <w:tcPr>
            <w:tcW w:w="741" w:type="pct"/>
            <w:tcBorders>
              <w:top w:val="single" w:sz="8" w:space="0" w:color="auto"/>
              <w:left w:val="nil"/>
              <w:bottom w:val="single" w:sz="8" w:space="0" w:color="auto"/>
              <w:right w:val="single" w:sz="4" w:space="0" w:color="auto"/>
            </w:tcBorders>
            <w:shd w:val="clear" w:color="000000" w:fill="3366FF"/>
            <w:vAlign w:val="center"/>
          </w:tcPr>
          <w:p w:rsidR="004D16B8" w:rsidRPr="00BE120C" w:rsidRDefault="004D16B8" w:rsidP="00852352">
            <w:pPr>
              <w:ind w:left="-108" w:right="-109"/>
              <w:jc w:val="center"/>
              <w:rPr>
                <w:rFonts w:ascii="Gotham Light" w:hAnsi="Gotham Light" w:cs="Arial"/>
                <w:b/>
                <w:bCs/>
                <w:color w:val="FFFFFF"/>
                <w:sz w:val="21"/>
                <w:szCs w:val="21"/>
              </w:rPr>
            </w:pPr>
            <w:r w:rsidRPr="00BE120C">
              <w:rPr>
                <w:rFonts w:ascii="Gotham Light" w:hAnsi="Gotham Light" w:cs="Arial"/>
                <w:color w:val="FFFFFF"/>
                <w:sz w:val="21"/>
                <w:szCs w:val="21"/>
              </w:rPr>
              <w:t>1%</w:t>
            </w:r>
          </w:p>
        </w:tc>
        <w:tc>
          <w:tcPr>
            <w:tcW w:w="924" w:type="pct"/>
            <w:tcBorders>
              <w:top w:val="single" w:sz="8" w:space="0" w:color="auto"/>
              <w:left w:val="nil"/>
              <w:bottom w:val="single" w:sz="8" w:space="0" w:color="auto"/>
              <w:right w:val="single" w:sz="8" w:space="0" w:color="auto"/>
            </w:tcBorders>
            <w:shd w:val="clear" w:color="000000" w:fill="3366FF"/>
            <w:noWrap/>
            <w:vAlign w:val="center"/>
          </w:tcPr>
          <w:p w:rsidR="004D16B8" w:rsidRPr="00BE120C" w:rsidRDefault="004D16B8" w:rsidP="00852352">
            <w:pPr>
              <w:ind w:left="-107" w:right="-150"/>
              <w:jc w:val="center"/>
              <w:rPr>
                <w:rFonts w:ascii="Gotham Light" w:hAnsi="Gotham Light" w:cs="Arial"/>
                <w:b/>
                <w:bCs/>
                <w:color w:val="FFFFFF"/>
                <w:sz w:val="21"/>
                <w:szCs w:val="21"/>
              </w:rPr>
            </w:pPr>
            <w:r w:rsidRPr="00BE120C">
              <w:rPr>
                <w:rFonts w:ascii="Gotham Light" w:hAnsi="Gotham Light" w:cs="Arial"/>
                <w:color w:val="FFFFFF"/>
                <w:sz w:val="21"/>
                <w:szCs w:val="21"/>
              </w:rPr>
              <w:t>61%</w:t>
            </w:r>
          </w:p>
        </w:tc>
      </w:tr>
      <w:tr w:rsidR="004D16B8" w:rsidRPr="0024008B" w:rsidTr="00852352">
        <w:trPr>
          <w:trHeight w:val="202"/>
        </w:trPr>
        <w:tc>
          <w:tcPr>
            <w:tcW w:w="1668" w:type="pct"/>
            <w:tcBorders>
              <w:top w:val="single" w:sz="8" w:space="0" w:color="auto"/>
              <w:left w:val="single" w:sz="8" w:space="0" w:color="auto"/>
              <w:bottom w:val="single" w:sz="8" w:space="0" w:color="auto"/>
              <w:right w:val="single" w:sz="4" w:space="0" w:color="auto"/>
            </w:tcBorders>
            <w:shd w:val="clear" w:color="000000" w:fill="99CCFF"/>
            <w:noWrap/>
            <w:vAlign w:val="center"/>
          </w:tcPr>
          <w:p w:rsidR="004D16B8" w:rsidRPr="0024008B" w:rsidRDefault="004D16B8" w:rsidP="00852352">
            <w:pPr>
              <w:ind w:left="132" w:right="432"/>
              <w:rPr>
                <w:rFonts w:ascii="Gotham Light" w:hAnsi="Gotham Light" w:cs="Arial"/>
                <w:b/>
                <w:bCs/>
                <w:color w:val="000000"/>
                <w:sz w:val="21"/>
                <w:szCs w:val="21"/>
              </w:rPr>
            </w:pPr>
            <w:r>
              <w:rPr>
                <w:rFonts w:ascii="Gotham Light" w:hAnsi="Gotham Light" w:cs="Arial"/>
                <w:color w:val="000000"/>
                <w:sz w:val="21"/>
                <w:szCs w:val="21"/>
              </w:rPr>
              <w:t xml:space="preserve">Community College </w:t>
            </w:r>
            <w:r w:rsidRPr="0024008B">
              <w:rPr>
                <w:rFonts w:ascii="Gotham Light" w:hAnsi="Gotham Light" w:cs="Arial"/>
                <w:color w:val="000000"/>
                <w:sz w:val="21"/>
                <w:szCs w:val="21"/>
              </w:rPr>
              <w:t>4</w:t>
            </w:r>
          </w:p>
        </w:tc>
        <w:tc>
          <w:tcPr>
            <w:tcW w:w="865" w:type="pct"/>
            <w:tcBorders>
              <w:top w:val="single" w:sz="8" w:space="0" w:color="auto"/>
              <w:left w:val="nil"/>
              <w:bottom w:val="single" w:sz="8" w:space="0" w:color="auto"/>
              <w:right w:val="single" w:sz="4" w:space="0" w:color="auto"/>
            </w:tcBorders>
            <w:shd w:val="clear" w:color="000000" w:fill="99CCFF"/>
            <w:noWrap/>
            <w:vAlign w:val="center"/>
          </w:tcPr>
          <w:p w:rsidR="004D16B8" w:rsidRPr="0024008B" w:rsidRDefault="004D16B8" w:rsidP="00852352">
            <w:pPr>
              <w:ind w:left="-108" w:right="-108"/>
              <w:jc w:val="center"/>
              <w:rPr>
                <w:rFonts w:ascii="Gotham Light" w:hAnsi="Gotham Light" w:cs="Arial"/>
                <w:b/>
                <w:bCs/>
                <w:color w:val="000000"/>
                <w:sz w:val="21"/>
                <w:szCs w:val="21"/>
              </w:rPr>
            </w:pPr>
            <w:r w:rsidRPr="0024008B">
              <w:rPr>
                <w:rFonts w:ascii="Gotham Light" w:hAnsi="Gotham Light" w:cs="Arial"/>
                <w:color w:val="000000"/>
                <w:sz w:val="21"/>
                <w:szCs w:val="21"/>
              </w:rPr>
              <w:t>2009</w:t>
            </w:r>
          </w:p>
        </w:tc>
        <w:tc>
          <w:tcPr>
            <w:tcW w:w="802" w:type="pct"/>
            <w:tcBorders>
              <w:top w:val="single" w:sz="8" w:space="0" w:color="auto"/>
              <w:left w:val="nil"/>
              <w:bottom w:val="single" w:sz="8" w:space="0" w:color="auto"/>
              <w:right w:val="single" w:sz="4" w:space="0" w:color="auto"/>
            </w:tcBorders>
            <w:shd w:val="clear" w:color="000000" w:fill="99CCFF"/>
            <w:noWrap/>
            <w:vAlign w:val="center"/>
          </w:tcPr>
          <w:p w:rsidR="004D16B8" w:rsidRPr="0024008B" w:rsidRDefault="004D16B8" w:rsidP="00852352">
            <w:pPr>
              <w:ind w:left="-108" w:right="-188"/>
              <w:jc w:val="center"/>
              <w:rPr>
                <w:rFonts w:ascii="Gotham Light" w:hAnsi="Gotham Light" w:cs="Arial"/>
                <w:b/>
                <w:bCs/>
                <w:color w:val="000000"/>
                <w:sz w:val="21"/>
                <w:szCs w:val="21"/>
              </w:rPr>
            </w:pPr>
            <w:r w:rsidRPr="0024008B">
              <w:rPr>
                <w:rFonts w:ascii="Gotham Light" w:hAnsi="Gotham Light" w:cs="Arial"/>
                <w:color w:val="000000"/>
                <w:sz w:val="21"/>
                <w:szCs w:val="21"/>
              </w:rPr>
              <w:t>54</w:t>
            </w:r>
          </w:p>
        </w:tc>
        <w:tc>
          <w:tcPr>
            <w:tcW w:w="741" w:type="pct"/>
            <w:tcBorders>
              <w:top w:val="single" w:sz="8" w:space="0" w:color="auto"/>
              <w:left w:val="nil"/>
              <w:bottom w:val="single" w:sz="8" w:space="0" w:color="auto"/>
              <w:right w:val="single" w:sz="4" w:space="0" w:color="auto"/>
            </w:tcBorders>
            <w:shd w:val="clear" w:color="000000" w:fill="99CCFF"/>
            <w:vAlign w:val="center"/>
          </w:tcPr>
          <w:p w:rsidR="004D16B8" w:rsidRPr="0024008B" w:rsidRDefault="004D16B8" w:rsidP="00852352">
            <w:pPr>
              <w:ind w:left="-108" w:right="-109"/>
              <w:jc w:val="center"/>
              <w:rPr>
                <w:rFonts w:ascii="Gotham Light" w:hAnsi="Gotham Light" w:cs="Arial"/>
                <w:b/>
                <w:bCs/>
                <w:color w:val="000000"/>
                <w:sz w:val="21"/>
                <w:szCs w:val="21"/>
              </w:rPr>
            </w:pPr>
            <w:r w:rsidRPr="0024008B">
              <w:rPr>
                <w:rFonts w:ascii="Gotham Light" w:hAnsi="Gotham Light" w:cs="Arial"/>
                <w:color w:val="000000"/>
                <w:sz w:val="21"/>
                <w:szCs w:val="21"/>
              </w:rPr>
              <w:t>4%</w:t>
            </w:r>
          </w:p>
        </w:tc>
        <w:tc>
          <w:tcPr>
            <w:tcW w:w="924" w:type="pct"/>
            <w:tcBorders>
              <w:top w:val="single" w:sz="8" w:space="0" w:color="auto"/>
              <w:left w:val="nil"/>
              <w:bottom w:val="single" w:sz="8" w:space="0" w:color="auto"/>
              <w:right w:val="single" w:sz="8" w:space="0" w:color="auto"/>
            </w:tcBorders>
            <w:shd w:val="clear" w:color="000000" w:fill="99CCFF"/>
            <w:noWrap/>
            <w:vAlign w:val="center"/>
          </w:tcPr>
          <w:p w:rsidR="004D16B8" w:rsidRPr="0024008B" w:rsidRDefault="004D16B8" w:rsidP="00852352">
            <w:pPr>
              <w:ind w:left="-107" w:right="-150"/>
              <w:jc w:val="center"/>
              <w:rPr>
                <w:rFonts w:ascii="Gotham Light" w:hAnsi="Gotham Light" w:cs="Arial"/>
                <w:b/>
                <w:bCs/>
                <w:color w:val="000000"/>
                <w:sz w:val="21"/>
                <w:szCs w:val="21"/>
              </w:rPr>
            </w:pPr>
            <w:r w:rsidRPr="0024008B">
              <w:rPr>
                <w:rFonts w:ascii="Gotham Light" w:hAnsi="Gotham Light" w:cs="Arial"/>
                <w:color w:val="000000"/>
                <w:sz w:val="21"/>
                <w:szCs w:val="21"/>
              </w:rPr>
              <w:t>93%</w:t>
            </w:r>
          </w:p>
        </w:tc>
      </w:tr>
      <w:tr w:rsidR="004D16B8" w:rsidRPr="0024008B" w:rsidTr="00852352">
        <w:trPr>
          <w:trHeight w:val="202"/>
        </w:trPr>
        <w:tc>
          <w:tcPr>
            <w:tcW w:w="1668" w:type="pct"/>
            <w:tcBorders>
              <w:top w:val="single" w:sz="4" w:space="0" w:color="auto"/>
              <w:left w:val="single" w:sz="8" w:space="0" w:color="auto"/>
              <w:bottom w:val="single" w:sz="8" w:space="0" w:color="auto"/>
              <w:right w:val="single" w:sz="4" w:space="0" w:color="auto"/>
            </w:tcBorders>
            <w:shd w:val="clear" w:color="000000" w:fill="FFFFFF"/>
            <w:noWrap/>
            <w:vAlign w:val="center"/>
          </w:tcPr>
          <w:p w:rsidR="004D16B8" w:rsidRPr="0024008B" w:rsidRDefault="004D16B8" w:rsidP="00433FC8">
            <w:pPr>
              <w:ind w:left="132" w:right="432"/>
              <w:rPr>
                <w:rFonts w:ascii="Gotham Light" w:hAnsi="Gotham Light" w:cs="Arial"/>
                <w:b/>
                <w:bCs/>
                <w:color w:val="000000"/>
                <w:sz w:val="21"/>
                <w:szCs w:val="21"/>
              </w:rPr>
            </w:pPr>
            <w:r w:rsidRPr="0024008B">
              <w:rPr>
                <w:rFonts w:ascii="Gotham Light" w:hAnsi="Gotham Light" w:cs="Arial"/>
                <w:b/>
                <w:bCs/>
                <w:color w:val="000000"/>
                <w:sz w:val="21"/>
                <w:szCs w:val="21"/>
              </w:rPr>
              <w:t>Total</w:t>
            </w:r>
          </w:p>
        </w:tc>
        <w:tc>
          <w:tcPr>
            <w:tcW w:w="865" w:type="pct"/>
            <w:tcBorders>
              <w:top w:val="single" w:sz="4" w:space="0" w:color="auto"/>
              <w:left w:val="nil"/>
              <w:bottom w:val="single" w:sz="8" w:space="0" w:color="auto"/>
              <w:right w:val="single" w:sz="4" w:space="0" w:color="auto"/>
            </w:tcBorders>
            <w:shd w:val="clear" w:color="000000" w:fill="FFFFFF"/>
            <w:noWrap/>
            <w:vAlign w:val="center"/>
          </w:tcPr>
          <w:p w:rsidR="004D16B8" w:rsidRPr="0024008B" w:rsidRDefault="004D16B8" w:rsidP="00433FC8">
            <w:pPr>
              <w:ind w:left="-108" w:right="-108"/>
              <w:rPr>
                <w:rFonts w:ascii="Gotham Light" w:hAnsi="Gotham Light" w:cs="Arial"/>
                <w:b/>
                <w:bCs/>
                <w:color w:val="000000"/>
                <w:sz w:val="21"/>
                <w:szCs w:val="21"/>
              </w:rPr>
            </w:pPr>
          </w:p>
        </w:tc>
        <w:tc>
          <w:tcPr>
            <w:tcW w:w="802" w:type="pct"/>
            <w:tcBorders>
              <w:top w:val="single" w:sz="4" w:space="0" w:color="auto"/>
              <w:left w:val="nil"/>
              <w:bottom w:val="single" w:sz="8" w:space="0" w:color="auto"/>
              <w:right w:val="single" w:sz="4" w:space="0" w:color="auto"/>
            </w:tcBorders>
            <w:shd w:val="clear" w:color="000000" w:fill="FFFFFF"/>
            <w:noWrap/>
            <w:vAlign w:val="center"/>
          </w:tcPr>
          <w:p w:rsidR="004D16B8" w:rsidRPr="0024008B" w:rsidRDefault="004D16B8" w:rsidP="00433FC8">
            <w:pPr>
              <w:ind w:left="-108"/>
              <w:jc w:val="center"/>
              <w:rPr>
                <w:rFonts w:ascii="Gotham Light" w:hAnsi="Gotham Light" w:cs="Arial"/>
                <w:b/>
                <w:bCs/>
                <w:color w:val="000000"/>
                <w:sz w:val="21"/>
                <w:szCs w:val="21"/>
              </w:rPr>
            </w:pPr>
            <w:r w:rsidRPr="0024008B">
              <w:rPr>
                <w:rFonts w:ascii="Gotham Light" w:hAnsi="Gotham Light" w:cs="Arial"/>
                <w:b/>
                <w:bCs/>
                <w:color w:val="000000"/>
                <w:sz w:val="21"/>
                <w:szCs w:val="21"/>
              </w:rPr>
              <w:t>1,308</w:t>
            </w:r>
          </w:p>
        </w:tc>
        <w:tc>
          <w:tcPr>
            <w:tcW w:w="741" w:type="pct"/>
            <w:tcBorders>
              <w:top w:val="single" w:sz="4" w:space="0" w:color="auto"/>
              <w:left w:val="nil"/>
              <w:bottom w:val="single" w:sz="8" w:space="0" w:color="auto"/>
              <w:right w:val="single" w:sz="4" w:space="0" w:color="auto"/>
            </w:tcBorders>
            <w:shd w:val="clear" w:color="000000" w:fill="FFFFFF"/>
            <w:vAlign w:val="center"/>
          </w:tcPr>
          <w:p w:rsidR="004D16B8" w:rsidRPr="0024008B" w:rsidRDefault="004D16B8" w:rsidP="00433FC8">
            <w:pPr>
              <w:ind w:left="-108" w:right="-109"/>
              <w:jc w:val="center"/>
              <w:rPr>
                <w:rFonts w:ascii="Gotham Light" w:hAnsi="Gotham Light" w:cs="Arial"/>
                <w:b/>
                <w:bCs/>
                <w:color w:val="000000"/>
                <w:sz w:val="21"/>
                <w:szCs w:val="21"/>
              </w:rPr>
            </w:pPr>
            <w:r w:rsidRPr="0024008B">
              <w:rPr>
                <w:rFonts w:ascii="Gotham Light" w:hAnsi="Gotham Light" w:cs="Arial"/>
                <w:b/>
                <w:bCs/>
                <w:color w:val="000000"/>
                <w:sz w:val="21"/>
                <w:szCs w:val="21"/>
              </w:rPr>
              <w:t>19%</w:t>
            </w:r>
          </w:p>
        </w:tc>
        <w:tc>
          <w:tcPr>
            <w:tcW w:w="924" w:type="pct"/>
            <w:tcBorders>
              <w:top w:val="single" w:sz="4" w:space="0" w:color="auto"/>
              <w:left w:val="nil"/>
              <w:bottom w:val="single" w:sz="8" w:space="0" w:color="auto"/>
              <w:right w:val="single" w:sz="8" w:space="0" w:color="auto"/>
            </w:tcBorders>
            <w:shd w:val="clear" w:color="000000" w:fill="FFFFFF"/>
            <w:noWrap/>
            <w:vAlign w:val="center"/>
          </w:tcPr>
          <w:p w:rsidR="004D16B8" w:rsidRPr="0024008B" w:rsidRDefault="004D16B8" w:rsidP="00433FC8">
            <w:pPr>
              <w:ind w:left="-107" w:right="-150"/>
              <w:jc w:val="center"/>
              <w:rPr>
                <w:rFonts w:ascii="Gotham Light" w:hAnsi="Gotham Light" w:cs="Arial"/>
                <w:b/>
                <w:bCs/>
                <w:color w:val="000000"/>
                <w:sz w:val="21"/>
                <w:szCs w:val="21"/>
              </w:rPr>
            </w:pPr>
            <w:r w:rsidRPr="0024008B">
              <w:rPr>
                <w:rFonts w:ascii="Gotham Light" w:hAnsi="Gotham Light" w:cs="Arial"/>
                <w:b/>
                <w:bCs/>
                <w:color w:val="000000"/>
                <w:sz w:val="21"/>
                <w:szCs w:val="21"/>
              </w:rPr>
              <w:t>71%</w:t>
            </w:r>
          </w:p>
        </w:tc>
      </w:tr>
    </w:tbl>
    <w:p w:rsidR="004D16B8" w:rsidRPr="003F71E3" w:rsidRDefault="004D16B8" w:rsidP="00433FC8">
      <w:pPr>
        <w:pStyle w:val="NoSpacing"/>
        <w:ind w:left="360" w:right="432"/>
        <w:rPr>
          <w:rFonts w:ascii="Gotham Light" w:hAnsi="Gotham Light"/>
          <w:sz w:val="12"/>
          <w:szCs w:val="12"/>
        </w:rPr>
      </w:pPr>
    </w:p>
    <w:p w:rsidR="004D16B8" w:rsidRPr="00BA6F42" w:rsidRDefault="004D16B8" w:rsidP="00433FC8">
      <w:pPr>
        <w:pStyle w:val="NoSpacing"/>
        <w:ind w:left="360" w:right="432"/>
        <w:rPr>
          <w:rFonts w:ascii="Arial" w:hAnsi="Arial" w:cs="Arial"/>
          <w:sz w:val="21"/>
          <w:szCs w:val="21"/>
        </w:rPr>
      </w:pPr>
      <w:r w:rsidRPr="00BA6F42">
        <w:rPr>
          <w:rFonts w:ascii="Arial" w:hAnsi="Arial" w:cs="Arial"/>
          <w:sz w:val="21"/>
          <w:szCs w:val="21"/>
        </w:rPr>
        <w:t>To understand the College Pathways participants’ persistence in context of other college students, the foster youth persistence rate is compared to an estimate of the national persistence rate of 56%</w:t>
      </w:r>
      <w:r w:rsidRPr="00BA6F42">
        <w:rPr>
          <w:rStyle w:val="FootnoteReference"/>
          <w:rFonts w:ascii="Arial" w:hAnsi="Arial" w:cs="Arial"/>
          <w:sz w:val="21"/>
          <w:szCs w:val="21"/>
        </w:rPr>
        <w:footnoteReference w:id="8"/>
      </w:r>
      <w:r w:rsidRPr="00BA6F42">
        <w:rPr>
          <w:rFonts w:ascii="Arial" w:hAnsi="Arial" w:cs="Arial"/>
          <w:sz w:val="21"/>
          <w:szCs w:val="21"/>
        </w:rPr>
        <w:t xml:space="preserve"> (Chart 5). Former foster youth who participate in these College Pathways are persisting at a higher rate in college than non foster youth students nationwide.  In the coming year, this project also will be replicated statewide, providing persistence and college success data for foster youth across a majority of the state’s universities and community colleges.</w:t>
      </w:r>
    </w:p>
    <w:p w:rsidR="004D16B8" w:rsidRPr="003F71E3" w:rsidRDefault="004D16B8" w:rsidP="00433FC8">
      <w:pPr>
        <w:pStyle w:val="NoSpacing"/>
        <w:ind w:left="360" w:right="432"/>
        <w:rPr>
          <w:rFonts w:ascii="Gotham Light" w:hAnsi="Gotham Light"/>
          <w:sz w:val="12"/>
          <w:szCs w:val="12"/>
        </w:rPr>
      </w:pPr>
    </w:p>
    <w:p w:rsidR="004D16B8" w:rsidRPr="00BA6F42" w:rsidRDefault="004D16B8" w:rsidP="00935CFA">
      <w:pPr>
        <w:pStyle w:val="NoSpacing"/>
        <w:ind w:left="360" w:right="432"/>
        <w:jc w:val="center"/>
        <w:rPr>
          <w:rFonts w:ascii="Arial" w:hAnsi="Arial" w:cs="Arial"/>
          <w:sz w:val="21"/>
          <w:szCs w:val="21"/>
        </w:rPr>
      </w:pPr>
      <w:r w:rsidRPr="00BA6F42">
        <w:rPr>
          <w:rFonts w:ascii="Arial" w:hAnsi="Arial" w:cs="Arial"/>
          <w:b/>
          <w:sz w:val="21"/>
          <w:szCs w:val="21"/>
        </w:rPr>
        <w:t>Chart 5: College Pathways Participants Persistence Rate</w:t>
      </w:r>
    </w:p>
    <w:p w:rsidR="004D16B8" w:rsidRPr="0024008B" w:rsidRDefault="005D02A2" w:rsidP="00935CFA">
      <w:pPr>
        <w:ind w:left="360" w:right="432"/>
        <w:jc w:val="center"/>
        <w:rPr>
          <w:rFonts w:ascii="Gotham Light" w:hAnsi="Gotham Light"/>
          <w:sz w:val="21"/>
          <w:szCs w:val="21"/>
        </w:rPr>
      </w:pPr>
      <w:r w:rsidRPr="005D02A2">
        <w:rPr>
          <w:noProof/>
        </w:rPr>
        <w:pict>
          <v:shape id="_x0000_s1031" type="#_x0000_t202" style="position:absolute;left:0;text-align:left;margin-left:286.5pt;margin-top:257.45pt;width:67.5pt;height:23.2pt;z-index:251654656" strokecolor="white">
            <v:textbox style="mso-next-textbox:#_x0000_s1031">
              <w:txbxContent>
                <w:p w:rsidR="004D16B8" w:rsidRPr="000B440B" w:rsidRDefault="004D16B8" w:rsidP="002F26A2">
                  <w:pPr>
                    <w:ind w:left="-90" w:right="-150"/>
                    <w:jc w:val="center"/>
                    <w:rPr>
                      <w:rFonts w:ascii="Cambria" w:hAnsi="Cambria"/>
                      <w:i/>
                      <w:color w:val="FF0000"/>
                      <w:sz w:val="14"/>
                      <w:szCs w:val="14"/>
                    </w:rPr>
                  </w:pPr>
                  <w:r w:rsidRPr="000B440B">
                    <w:rPr>
                      <w:rFonts w:ascii="Cambria" w:hAnsi="Cambria"/>
                      <w:i/>
                      <w:color w:val="FF0000"/>
                      <w:sz w:val="14"/>
                      <w:szCs w:val="14"/>
                    </w:rPr>
                    <w:t>National Persistence Average 56%</w:t>
                  </w:r>
                </w:p>
              </w:txbxContent>
            </v:textbox>
          </v:shape>
        </w:pict>
      </w:r>
      <w:r w:rsidRPr="005D02A2">
        <w:rPr>
          <w:noProof/>
        </w:rPr>
        <w:pict>
          <v:line id="_x0000_s1032" style="position:absolute;left:0;text-align:left;z-index:251659776" from="318pt,10.95pt" to="318pt,262.95pt" strokecolor="red">
            <v:stroke dashstyle="dash" endarrow="block"/>
          </v:line>
        </w:pict>
      </w:r>
      <w:r w:rsidR="007469ED">
        <w:rPr>
          <w:rFonts w:ascii="Gotham Light" w:hAnsi="Gotham Light"/>
          <w:noProof/>
          <w:sz w:val="21"/>
          <w:szCs w:val="21"/>
        </w:rPr>
        <w:drawing>
          <wp:inline distT="0" distB="0" distL="0" distR="0">
            <wp:extent cx="4619625" cy="35814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619625" cy="3581400"/>
                    </a:xfrm>
                    <a:prstGeom prst="rect">
                      <a:avLst/>
                    </a:prstGeom>
                    <a:noFill/>
                    <a:ln w="9525">
                      <a:noFill/>
                      <a:miter lim="800000"/>
                      <a:headEnd/>
                      <a:tailEnd/>
                    </a:ln>
                  </pic:spPr>
                </pic:pic>
              </a:graphicData>
            </a:graphic>
          </wp:inline>
        </w:drawing>
      </w:r>
    </w:p>
    <w:p w:rsidR="004D16B8" w:rsidRPr="00935CFA" w:rsidRDefault="004D16B8" w:rsidP="002F26A2">
      <w:pPr>
        <w:pStyle w:val="Heading2"/>
        <w:spacing w:before="0" w:line="276" w:lineRule="auto"/>
        <w:ind w:left="360" w:right="432"/>
        <w:rPr>
          <w:rFonts w:ascii="Gotham Light" w:hAnsi="Gotham Light"/>
          <w:color w:val="004600"/>
          <w:sz w:val="21"/>
          <w:szCs w:val="21"/>
        </w:rPr>
      </w:pPr>
      <w:r w:rsidRPr="00935CFA">
        <w:rPr>
          <w:rFonts w:ascii="Gotham Light" w:hAnsi="Gotham Light"/>
          <w:color w:val="004600"/>
          <w:sz w:val="21"/>
          <w:szCs w:val="21"/>
        </w:rPr>
        <w:lastRenderedPageBreak/>
        <w:t>References</w:t>
      </w:r>
    </w:p>
    <w:p w:rsidR="004D16B8" w:rsidRPr="00C13422" w:rsidRDefault="004D16B8" w:rsidP="00C13422">
      <w:pPr>
        <w:autoSpaceDE w:val="0"/>
        <w:autoSpaceDN w:val="0"/>
        <w:adjustRightInd w:val="0"/>
        <w:ind w:left="720" w:right="432" w:hanging="360"/>
        <w:rPr>
          <w:rFonts w:ascii="Arial" w:hAnsi="Arial" w:cs="Arial"/>
          <w:sz w:val="21"/>
          <w:szCs w:val="21"/>
        </w:rPr>
      </w:pPr>
      <w:r w:rsidRPr="00C13422">
        <w:rPr>
          <w:rFonts w:ascii="Arial" w:hAnsi="Arial" w:cs="Arial"/>
          <w:sz w:val="21"/>
          <w:szCs w:val="21"/>
        </w:rPr>
        <w:t xml:space="preserve">Barnettt, D., Vondra, J., &amp; Shonk, S. (1996). Self-perceptions, motivation, and school functioning of low-income maltreated and comparison children. </w:t>
      </w:r>
      <w:r w:rsidRPr="00C13422">
        <w:rPr>
          <w:rFonts w:ascii="Arial" w:hAnsi="Arial" w:cs="Arial"/>
          <w:i/>
          <w:iCs/>
          <w:sz w:val="21"/>
          <w:szCs w:val="21"/>
        </w:rPr>
        <w:t>Child Abuse and Neglect, 20</w:t>
      </w:r>
      <w:r w:rsidRPr="00C13422">
        <w:rPr>
          <w:rFonts w:ascii="Arial" w:hAnsi="Arial" w:cs="Arial"/>
          <w:sz w:val="21"/>
          <w:szCs w:val="21"/>
        </w:rPr>
        <w:t>(5), 397-410.</w:t>
      </w:r>
    </w:p>
    <w:p w:rsidR="004D16B8" w:rsidRPr="00C13422" w:rsidRDefault="004D16B8" w:rsidP="00C13422">
      <w:pPr>
        <w:ind w:left="720" w:hanging="360"/>
        <w:rPr>
          <w:rFonts w:ascii="Arial" w:hAnsi="Arial" w:cs="Arial"/>
          <w:sz w:val="21"/>
          <w:szCs w:val="21"/>
        </w:rPr>
      </w:pPr>
      <w:r w:rsidRPr="00C13422">
        <w:rPr>
          <w:rFonts w:ascii="Arial" w:hAnsi="Arial" w:cs="Arial"/>
          <w:sz w:val="21"/>
          <w:szCs w:val="21"/>
        </w:rPr>
        <w:t xml:space="preserve">Berkner, L., He, S., &amp; Cataldi, E. (2002). </w:t>
      </w:r>
      <w:r w:rsidRPr="00C13422">
        <w:rPr>
          <w:rFonts w:ascii="Arial" w:hAnsi="Arial" w:cs="Arial"/>
          <w:i/>
          <w:iCs/>
          <w:sz w:val="21"/>
          <w:szCs w:val="21"/>
        </w:rPr>
        <w:t>Descriptive summary of 1995</w:t>
      </w:r>
      <w:r>
        <w:rPr>
          <w:rFonts w:ascii="Arial" w:hAnsi="Arial" w:cs="Arial"/>
          <w:i/>
          <w:iCs/>
          <w:sz w:val="21"/>
          <w:szCs w:val="21"/>
        </w:rPr>
        <w:t>-</w:t>
      </w:r>
      <w:r w:rsidRPr="00C13422">
        <w:rPr>
          <w:rFonts w:ascii="Arial" w:hAnsi="Arial" w:cs="Arial"/>
          <w:i/>
          <w:iCs/>
          <w:sz w:val="21"/>
          <w:szCs w:val="21"/>
        </w:rPr>
        <w:t>96 Beginning Postsecondary Students: Six years later</w:t>
      </w:r>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Washington</w:t>
        </w:r>
      </w:smartTag>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DC</w:t>
        </w:r>
      </w:smartTag>
      <w:r w:rsidRPr="00C13422">
        <w:rPr>
          <w:rFonts w:ascii="Arial" w:hAnsi="Arial" w:cs="Arial"/>
          <w:sz w:val="21"/>
          <w:szCs w:val="21"/>
        </w:rPr>
        <w:t xml:space="preserve">: </w:t>
      </w:r>
      <w:smartTag w:uri="urn:schemas-microsoft-com:office:smarttags" w:element="PlaceType">
        <w:smartTag w:uri="urn:schemas-microsoft-com:office:smarttags" w:element="PlaceType">
          <w:r w:rsidRPr="00C13422">
            <w:rPr>
              <w:rFonts w:ascii="Arial" w:hAnsi="Arial" w:cs="Arial"/>
              <w:sz w:val="21"/>
              <w:szCs w:val="21"/>
            </w:rPr>
            <w:t>National</w:t>
          </w:r>
        </w:smartTag>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Center</w:t>
          </w:r>
        </w:smartTag>
      </w:smartTag>
      <w:r w:rsidRPr="00C13422">
        <w:rPr>
          <w:rFonts w:ascii="Arial" w:hAnsi="Arial" w:cs="Arial"/>
          <w:sz w:val="21"/>
          <w:szCs w:val="21"/>
        </w:rPr>
        <w:t xml:space="preserve"> for Education Statistics.</w:t>
      </w:r>
    </w:p>
    <w:p w:rsidR="004D16B8" w:rsidRPr="00C13422" w:rsidRDefault="004D16B8" w:rsidP="00C13422">
      <w:pPr>
        <w:autoSpaceDE w:val="0"/>
        <w:autoSpaceDN w:val="0"/>
        <w:adjustRightInd w:val="0"/>
        <w:ind w:left="720" w:right="432" w:hanging="360"/>
        <w:rPr>
          <w:rFonts w:ascii="Arial" w:hAnsi="Arial" w:cs="Arial"/>
          <w:sz w:val="21"/>
          <w:szCs w:val="21"/>
        </w:rPr>
      </w:pPr>
      <w:r w:rsidRPr="00C13422">
        <w:rPr>
          <w:rFonts w:ascii="Arial" w:hAnsi="Arial" w:cs="Arial"/>
          <w:sz w:val="21"/>
          <w:szCs w:val="21"/>
        </w:rPr>
        <w:t xml:space="preserve">Burley, M., &amp; Halpern, M. (2001). </w:t>
      </w:r>
      <w:r w:rsidRPr="00C13422">
        <w:rPr>
          <w:rFonts w:ascii="Arial" w:hAnsi="Arial" w:cs="Arial"/>
          <w:i/>
          <w:iCs/>
          <w:sz w:val="21"/>
          <w:szCs w:val="21"/>
        </w:rPr>
        <w:t>Educational attainment of foster youth: Achievement and graduation outcomes for children in state care</w:t>
      </w:r>
      <w:r w:rsidRPr="00C13422">
        <w:rPr>
          <w:rFonts w:ascii="Arial" w:hAnsi="Arial" w:cs="Arial"/>
          <w:sz w:val="21"/>
          <w:szCs w:val="21"/>
        </w:rPr>
        <w:t xml:space="preserve">. </w:t>
      </w:r>
      <w:smartTag w:uri="urn:schemas-microsoft-com:office:smarttags" w:element="PlaceType">
        <w:smartTag w:uri="urn:schemas-microsoft-com:office:smarttags" w:element="PlaceType">
          <w:r w:rsidRPr="00C13422">
            <w:rPr>
              <w:rFonts w:ascii="Arial" w:hAnsi="Arial" w:cs="Arial"/>
              <w:sz w:val="21"/>
              <w:szCs w:val="21"/>
            </w:rPr>
            <w:t>Olympia</w:t>
          </w:r>
        </w:smartTag>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WA</w:t>
          </w:r>
        </w:smartTag>
      </w:smartTag>
      <w:r w:rsidRPr="00C13422">
        <w:rPr>
          <w:rFonts w:ascii="Arial" w:hAnsi="Arial" w:cs="Arial"/>
          <w:sz w:val="21"/>
          <w:szCs w:val="21"/>
        </w:rPr>
        <w:t>: Washington State Institute for Public Policy.</w:t>
      </w:r>
    </w:p>
    <w:p w:rsidR="004D16B8" w:rsidRPr="00C13422" w:rsidRDefault="004D16B8" w:rsidP="00C13422">
      <w:pPr>
        <w:autoSpaceDE w:val="0"/>
        <w:autoSpaceDN w:val="0"/>
        <w:adjustRightInd w:val="0"/>
        <w:ind w:left="720" w:right="432" w:hanging="360"/>
        <w:rPr>
          <w:rFonts w:ascii="Arial" w:hAnsi="Arial" w:cs="Arial"/>
          <w:sz w:val="21"/>
          <w:szCs w:val="21"/>
        </w:rPr>
      </w:pPr>
      <w:r w:rsidRPr="00C13422">
        <w:rPr>
          <w:rFonts w:ascii="Arial" w:hAnsi="Arial" w:cs="Arial"/>
          <w:sz w:val="21"/>
          <w:szCs w:val="21"/>
        </w:rPr>
        <w:t xml:space="preserve">Conger, D., &amp; Rebeck, A. (2001). </w:t>
      </w:r>
      <w:r w:rsidRPr="00C13422">
        <w:rPr>
          <w:rFonts w:ascii="Arial" w:hAnsi="Arial" w:cs="Arial"/>
          <w:i/>
          <w:iCs/>
          <w:sz w:val="21"/>
          <w:szCs w:val="21"/>
        </w:rPr>
        <w:t>How children's foster care experiences affect their education</w:t>
      </w:r>
      <w:r w:rsidRPr="00C13422">
        <w:rPr>
          <w:rFonts w:ascii="Arial" w:hAnsi="Arial" w:cs="Arial"/>
          <w:sz w:val="21"/>
          <w:szCs w:val="21"/>
        </w:rPr>
        <w:t>: Vera Institute of Justice: New York Administration for Children's Services</w:t>
      </w:r>
    </w:p>
    <w:p w:rsidR="004D16B8" w:rsidRPr="00C13422" w:rsidRDefault="004D16B8" w:rsidP="00C13422">
      <w:pPr>
        <w:pStyle w:val="Default"/>
        <w:ind w:left="720" w:right="432" w:hanging="360"/>
        <w:rPr>
          <w:rFonts w:ascii="Arial" w:hAnsi="Arial" w:cs="Arial"/>
          <w:sz w:val="21"/>
          <w:szCs w:val="21"/>
        </w:rPr>
      </w:pPr>
      <w:r w:rsidRPr="00C13422">
        <w:rPr>
          <w:rFonts w:ascii="Arial" w:hAnsi="Arial" w:cs="Arial"/>
          <w:sz w:val="21"/>
          <w:szCs w:val="21"/>
          <w:lang w:val="es-GT"/>
        </w:rPr>
        <w:t xml:space="preserve">Duncan, G. J., &amp; Magnuson, K. A. (2005). </w:t>
      </w:r>
      <w:r w:rsidRPr="00C13422">
        <w:rPr>
          <w:rFonts w:ascii="Arial" w:hAnsi="Arial" w:cs="Arial"/>
          <w:sz w:val="21"/>
          <w:szCs w:val="21"/>
        </w:rPr>
        <w:t xml:space="preserve">Can family socioeconomic resources account for racial and ethnic test score gaps? </w:t>
      </w:r>
      <w:r w:rsidRPr="00C13422">
        <w:rPr>
          <w:rFonts w:ascii="Arial" w:hAnsi="Arial" w:cs="Arial"/>
          <w:i/>
          <w:iCs/>
          <w:sz w:val="21"/>
          <w:szCs w:val="21"/>
        </w:rPr>
        <w:t>Future of Children, 15</w:t>
      </w:r>
      <w:r w:rsidRPr="00C13422">
        <w:rPr>
          <w:rFonts w:ascii="Arial" w:hAnsi="Arial" w:cs="Arial"/>
          <w:sz w:val="21"/>
          <w:szCs w:val="21"/>
        </w:rPr>
        <w:t>(1), 35-54.</w:t>
      </w:r>
    </w:p>
    <w:p w:rsidR="004D16B8" w:rsidRPr="00C13422" w:rsidRDefault="004D16B8" w:rsidP="00C13422">
      <w:pPr>
        <w:autoSpaceDE w:val="0"/>
        <w:autoSpaceDN w:val="0"/>
        <w:adjustRightInd w:val="0"/>
        <w:ind w:left="720" w:right="432" w:hanging="360"/>
        <w:rPr>
          <w:rFonts w:ascii="Arial" w:hAnsi="Arial" w:cs="Arial"/>
          <w:color w:val="000000"/>
          <w:sz w:val="21"/>
          <w:szCs w:val="21"/>
        </w:rPr>
      </w:pPr>
      <w:r w:rsidRPr="00C13422">
        <w:rPr>
          <w:rFonts w:ascii="Arial" w:hAnsi="Arial" w:cs="Arial"/>
          <w:color w:val="000000"/>
          <w:sz w:val="21"/>
          <w:szCs w:val="21"/>
        </w:rPr>
        <w:t xml:space="preserve">Hill, R. B. (2006). Synthesis of research and disproportionality in child welfare: An Update. Casey-SCCP alliance for racial equity in child welfare system. Retrieved January 2, 2008, available from http://www.cssp.org/major_initiatives/ racialEquity.html </w:t>
      </w:r>
    </w:p>
    <w:p w:rsidR="004D16B8" w:rsidRPr="00C13422" w:rsidRDefault="004D16B8" w:rsidP="00C13422">
      <w:pPr>
        <w:autoSpaceDE w:val="0"/>
        <w:autoSpaceDN w:val="0"/>
        <w:adjustRightInd w:val="0"/>
        <w:ind w:left="720" w:right="432" w:hanging="360"/>
        <w:rPr>
          <w:rFonts w:ascii="Arial" w:hAnsi="Arial" w:cs="Arial"/>
          <w:sz w:val="21"/>
          <w:szCs w:val="21"/>
        </w:rPr>
      </w:pPr>
      <w:r w:rsidRPr="00C13422">
        <w:rPr>
          <w:rFonts w:ascii="Arial" w:hAnsi="Arial" w:cs="Arial"/>
          <w:sz w:val="21"/>
          <w:szCs w:val="21"/>
        </w:rPr>
        <w:t xml:space="preserve">Leiter, J., &amp; Johnson, M. (1994). Child maltreatment and school performance. </w:t>
      </w:r>
      <w:r w:rsidRPr="00C13422">
        <w:rPr>
          <w:rFonts w:ascii="Arial" w:hAnsi="Arial" w:cs="Arial"/>
          <w:i/>
          <w:iCs/>
          <w:sz w:val="21"/>
          <w:szCs w:val="21"/>
        </w:rPr>
        <w:t>American Journal of Education, 102</w:t>
      </w:r>
      <w:r w:rsidRPr="00C13422">
        <w:rPr>
          <w:rFonts w:ascii="Arial" w:hAnsi="Arial" w:cs="Arial"/>
          <w:sz w:val="21"/>
          <w:szCs w:val="21"/>
        </w:rPr>
        <w:t>(2), 154-189.</w:t>
      </w:r>
    </w:p>
    <w:p w:rsidR="004D16B8" w:rsidRPr="00C13422" w:rsidRDefault="004D16B8" w:rsidP="00C13422">
      <w:pPr>
        <w:ind w:left="720" w:right="432" w:hanging="360"/>
        <w:rPr>
          <w:rFonts w:ascii="Arial" w:hAnsi="Arial" w:cs="Arial"/>
          <w:sz w:val="21"/>
          <w:szCs w:val="21"/>
        </w:rPr>
      </w:pPr>
      <w:r w:rsidRPr="00C13422">
        <w:rPr>
          <w:rFonts w:ascii="Arial" w:hAnsi="Arial" w:cs="Arial"/>
          <w:sz w:val="21"/>
          <w:szCs w:val="21"/>
        </w:rPr>
        <w:t>No Child Left Behind Act of 2001, 20 U.S.C. § 6319.</w:t>
      </w:r>
    </w:p>
    <w:p w:rsidR="004D16B8" w:rsidRPr="00C13422" w:rsidRDefault="004D16B8" w:rsidP="00C13422">
      <w:pPr>
        <w:ind w:left="720" w:right="432" w:hanging="360"/>
        <w:rPr>
          <w:rFonts w:ascii="Arial" w:hAnsi="Arial" w:cs="Arial"/>
          <w:sz w:val="21"/>
          <w:szCs w:val="21"/>
        </w:rPr>
      </w:pPr>
      <w:r w:rsidRPr="00C13422">
        <w:rPr>
          <w:rFonts w:ascii="Arial" w:hAnsi="Arial" w:cs="Arial"/>
          <w:sz w:val="21"/>
          <w:szCs w:val="21"/>
        </w:rPr>
        <w:t xml:space="preserve">Smithgall, C., Gladden, R., Howard, E., George, R. &amp; Courtney, M. (2004). Educational experiences of children in out-of-home care. Published by </w:t>
      </w:r>
      <w:smartTag w:uri="urn:schemas-microsoft-com:office:smarttags" w:element="PlaceType">
        <w:smartTag w:uri="urn:schemas-microsoft-com:office:smarttags" w:element="PlaceType">
          <w:r w:rsidRPr="00C13422">
            <w:rPr>
              <w:rFonts w:ascii="Arial" w:hAnsi="Arial" w:cs="Arial"/>
              <w:sz w:val="21"/>
              <w:szCs w:val="21"/>
            </w:rPr>
            <w:t>Chapin</w:t>
          </w:r>
        </w:smartTag>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Hall</w:t>
          </w:r>
        </w:smartTag>
        <w:r w:rsidRPr="00C13422">
          <w:rPr>
            <w:rFonts w:ascii="Arial" w:hAnsi="Arial" w:cs="Arial"/>
            <w:sz w:val="21"/>
            <w:szCs w:val="21"/>
          </w:rPr>
          <w:t xml:space="preserve"> </w:t>
        </w:r>
        <w:smartTag w:uri="urn:schemas-microsoft-com:office:smarttags" w:element="PlaceType">
          <w:r w:rsidRPr="00C13422">
            <w:rPr>
              <w:rFonts w:ascii="Arial" w:hAnsi="Arial" w:cs="Arial"/>
              <w:sz w:val="21"/>
              <w:szCs w:val="21"/>
            </w:rPr>
            <w:t>Center</w:t>
          </w:r>
        </w:smartTag>
      </w:smartTag>
      <w:r w:rsidRPr="00C13422">
        <w:rPr>
          <w:rFonts w:ascii="Arial" w:hAnsi="Arial" w:cs="Arial"/>
          <w:sz w:val="21"/>
          <w:szCs w:val="21"/>
        </w:rPr>
        <w:t xml:space="preserve"> for Children.</w:t>
      </w:r>
    </w:p>
    <w:p w:rsidR="004D16B8" w:rsidRPr="00C13422" w:rsidRDefault="004D16B8" w:rsidP="00C13422">
      <w:pPr>
        <w:ind w:left="720" w:right="432" w:hanging="360"/>
        <w:rPr>
          <w:rFonts w:ascii="Arial" w:hAnsi="Arial" w:cs="Arial"/>
          <w:sz w:val="21"/>
          <w:szCs w:val="21"/>
        </w:rPr>
      </w:pPr>
      <w:r w:rsidRPr="00C13422">
        <w:rPr>
          <w:rFonts w:ascii="Arial" w:hAnsi="Arial" w:cs="Arial"/>
          <w:sz w:val="21"/>
          <w:szCs w:val="21"/>
        </w:rPr>
        <w:t xml:space="preserve">Wulczyn, F., Smithgall, C. and Chen L. (2009). Child Well-Being: The Intersection of Schools and Child Welfare. In </w:t>
      </w:r>
      <w:r w:rsidRPr="00C13422">
        <w:rPr>
          <w:rFonts w:ascii="Arial" w:hAnsi="Arial" w:cs="Arial"/>
          <w:i/>
          <w:sz w:val="21"/>
          <w:szCs w:val="21"/>
        </w:rPr>
        <w:t>Review of Research in Education: Risk, Schooling, and Equity</w:t>
      </w:r>
      <w:r w:rsidRPr="00C13422">
        <w:rPr>
          <w:rFonts w:ascii="Arial" w:hAnsi="Arial" w:cs="Arial"/>
          <w:sz w:val="21"/>
          <w:szCs w:val="21"/>
        </w:rPr>
        <w:t>. Eds. Gadsden, V., Davis, J. E., Artiles, A. J. Vol 33, 35-62.</w:t>
      </w:r>
    </w:p>
    <w:sectPr w:rsidR="004D16B8" w:rsidRPr="00C13422" w:rsidSect="000611BA">
      <w:type w:val="continuous"/>
      <w:pgSz w:w="12240" w:h="15840"/>
      <w:pgMar w:top="864" w:right="864" w:bottom="720" w:left="12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6B8" w:rsidRDefault="004D16B8">
      <w:r>
        <w:separator/>
      </w:r>
    </w:p>
  </w:endnote>
  <w:endnote w:type="continuationSeparator" w:id="0">
    <w:p w:rsidR="004D16B8" w:rsidRDefault="004D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Gotham Light">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6B8" w:rsidRDefault="004D16B8">
      <w:r>
        <w:separator/>
      </w:r>
    </w:p>
  </w:footnote>
  <w:footnote w:type="continuationSeparator" w:id="0">
    <w:p w:rsidR="004D16B8" w:rsidRDefault="004D16B8">
      <w:r>
        <w:continuationSeparator/>
      </w:r>
    </w:p>
  </w:footnote>
  <w:footnote w:id="1">
    <w:p w:rsidR="004D16B8" w:rsidRDefault="004D16B8" w:rsidP="0024008B">
      <w:pPr>
        <w:pStyle w:val="FootnoteText"/>
        <w:ind w:left="360"/>
      </w:pPr>
      <w:r w:rsidRPr="00DD2A79">
        <w:rPr>
          <w:rStyle w:val="FootnoteReference"/>
          <w:rFonts w:ascii="Garamond" w:hAnsi="Garamond" w:cs="Arial"/>
          <w:sz w:val="18"/>
          <w:szCs w:val="18"/>
        </w:rPr>
        <w:footnoteRef/>
      </w:r>
      <w:r w:rsidRPr="00DD2A79">
        <w:rPr>
          <w:rFonts w:ascii="Garamond" w:hAnsi="Garamond" w:cs="Arial"/>
          <w:sz w:val="18"/>
          <w:szCs w:val="18"/>
        </w:rPr>
        <w:t xml:space="preserve"> Due to districts/institutions that agreed to participate in the project, match rates between child welfare and education data vary by county. </w:t>
      </w:r>
    </w:p>
  </w:footnote>
  <w:footnote w:id="2">
    <w:p w:rsidR="004D16B8" w:rsidRDefault="004D16B8" w:rsidP="0024008B">
      <w:pPr>
        <w:pStyle w:val="FootnoteText"/>
        <w:ind w:left="360"/>
      </w:pPr>
      <w:r w:rsidRPr="00DD2A79">
        <w:rPr>
          <w:rStyle w:val="FootnoteReference"/>
          <w:rFonts w:ascii="Garamond" w:hAnsi="Garamond" w:cs="Arial"/>
          <w:sz w:val="18"/>
          <w:szCs w:val="18"/>
        </w:rPr>
        <w:footnoteRef/>
      </w:r>
      <w:r w:rsidRPr="00DD2A79">
        <w:rPr>
          <w:rFonts w:ascii="Garamond" w:hAnsi="Garamond" w:cs="Arial"/>
          <w:sz w:val="18"/>
          <w:szCs w:val="18"/>
        </w:rPr>
        <w:t xml:space="preserve"> Burley &amp; Halpern, 2001; Conger &amp; Rebeck, 2001; Smithgall, Gladden, Howard, George, &amp; Courtney, 2004</w:t>
      </w:r>
    </w:p>
  </w:footnote>
  <w:footnote w:id="3">
    <w:p w:rsidR="004D16B8" w:rsidRDefault="004D16B8" w:rsidP="00433FC8">
      <w:pPr>
        <w:pStyle w:val="FootnoteText"/>
        <w:ind w:left="360"/>
      </w:pPr>
      <w:r w:rsidRPr="00DD2A79">
        <w:rPr>
          <w:rStyle w:val="FootnoteReference"/>
          <w:rFonts w:ascii="Garamond" w:hAnsi="Garamond" w:cs="Arial"/>
          <w:sz w:val="18"/>
          <w:szCs w:val="18"/>
        </w:rPr>
        <w:footnoteRef/>
      </w:r>
      <w:r w:rsidRPr="00DD2A79">
        <w:rPr>
          <w:rFonts w:ascii="Garamond" w:hAnsi="Garamond" w:cs="Arial"/>
          <w:sz w:val="18"/>
          <w:szCs w:val="18"/>
        </w:rPr>
        <w:t xml:space="preserve"> Barnett, Vondra, &amp; Shonk, 1996; Duncan &amp; Magnuson, 2005; Leiter &amp; Johnson, 1994; Hill, 2006; Wulczyn, Smithgall, &amp; Chen, 2009.</w:t>
      </w:r>
    </w:p>
  </w:footnote>
  <w:footnote w:id="4">
    <w:p w:rsidR="004D16B8" w:rsidRDefault="004D16B8" w:rsidP="00CC4E0E">
      <w:pPr>
        <w:pStyle w:val="FootnoteText"/>
        <w:ind w:left="360"/>
      </w:pPr>
      <w:r w:rsidRPr="00DD2A79">
        <w:rPr>
          <w:rStyle w:val="FootnoteReference"/>
          <w:rFonts w:ascii="Garamond" w:hAnsi="Garamond" w:cs="Arial"/>
          <w:sz w:val="18"/>
          <w:szCs w:val="18"/>
        </w:rPr>
        <w:footnoteRef/>
      </w:r>
      <w:r w:rsidRPr="00DD2A79">
        <w:rPr>
          <w:rFonts w:ascii="Garamond" w:hAnsi="Garamond" w:cs="Arial"/>
          <w:sz w:val="18"/>
          <w:szCs w:val="18"/>
        </w:rPr>
        <w:t xml:space="preserve"> The General Population calculations are from the California Department of Education, </w:t>
      </w:r>
      <w:hyperlink r:id="rId1" w:history="1">
        <w:r w:rsidRPr="00DD2A79">
          <w:rPr>
            <w:rFonts w:ascii="Garamond" w:hAnsi="Garamond" w:cs="Arial"/>
            <w:sz w:val="18"/>
            <w:szCs w:val="18"/>
          </w:rPr>
          <w:t>http://star.cde.ca.gov</w:t>
        </w:r>
      </w:hyperlink>
      <w:r w:rsidRPr="00DD2A79">
        <w:rPr>
          <w:rFonts w:ascii="Garamond" w:hAnsi="Garamond" w:cs="Arial"/>
          <w:sz w:val="18"/>
          <w:szCs w:val="18"/>
        </w:rPr>
        <w:t>. The percentages represent the average proficiency rate (advanced or proficient) by grade level across five years.</w:t>
      </w:r>
    </w:p>
  </w:footnote>
  <w:footnote w:id="5">
    <w:p w:rsidR="004D16B8" w:rsidRDefault="004D16B8" w:rsidP="00433FC8">
      <w:pPr>
        <w:pStyle w:val="FootnoteText"/>
        <w:ind w:left="360"/>
      </w:pPr>
      <w:r w:rsidRPr="00DD2A79">
        <w:rPr>
          <w:rStyle w:val="FootnoteReference"/>
          <w:rFonts w:ascii="Garamond" w:hAnsi="Garamond" w:cs="Arial"/>
          <w:sz w:val="18"/>
          <w:szCs w:val="18"/>
        </w:rPr>
        <w:footnoteRef/>
      </w:r>
      <w:r w:rsidRPr="00DD2A79">
        <w:rPr>
          <w:rFonts w:ascii="Garamond" w:hAnsi="Garamond" w:cs="Arial"/>
          <w:sz w:val="18"/>
          <w:szCs w:val="18"/>
        </w:rPr>
        <w:t xml:space="preserve"> Proficiency in English and math is measured by the percentage of students who scored advanced or proficient on the California Standardized Tests (CST) from 2004 to 2009.</w:t>
      </w:r>
    </w:p>
  </w:footnote>
  <w:footnote w:id="6">
    <w:p w:rsidR="004D16B8" w:rsidRDefault="004D16B8" w:rsidP="000611BA">
      <w:pPr>
        <w:pStyle w:val="FootnoteText"/>
        <w:ind w:firstLine="360"/>
      </w:pPr>
      <w:r w:rsidRPr="00DD2A79">
        <w:rPr>
          <w:rStyle w:val="FootnoteReference"/>
          <w:rFonts w:ascii="Garamond" w:hAnsi="Garamond"/>
        </w:rPr>
        <w:footnoteRef/>
      </w:r>
      <w:r w:rsidRPr="00DD2A79">
        <w:rPr>
          <w:rFonts w:ascii="Garamond" w:hAnsi="Garamond"/>
        </w:rPr>
        <w:t xml:space="preserve"> </w:t>
      </w:r>
      <w:r w:rsidRPr="00DD2A79">
        <w:rPr>
          <w:rFonts w:ascii="Garamond" w:hAnsi="Garamond" w:cs="Arial"/>
          <w:sz w:val="18"/>
          <w:szCs w:val="18"/>
        </w:rPr>
        <w:t>Graduation rate is the percentage of students who received an Associate degree, Bachelor degree, or certification.</w:t>
      </w:r>
    </w:p>
  </w:footnote>
  <w:footnote w:id="7">
    <w:p w:rsidR="004D16B8" w:rsidRDefault="004D16B8" w:rsidP="000611BA">
      <w:pPr>
        <w:pStyle w:val="FootnoteText"/>
        <w:ind w:left="360"/>
      </w:pPr>
      <w:r w:rsidRPr="00DD2A79">
        <w:rPr>
          <w:rStyle w:val="FootnoteReference"/>
          <w:rFonts w:ascii="Garamond" w:hAnsi="Garamond"/>
        </w:rPr>
        <w:footnoteRef/>
      </w:r>
      <w:r w:rsidRPr="00DD2A79">
        <w:rPr>
          <w:rFonts w:ascii="Garamond" w:hAnsi="Garamond"/>
        </w:rPr>
        <w:t xml:space="preserve"> </w:t>
      </w:r>
      <w:r w:rsidRPr="00DD2A79">
        <w:rPr>
          <w:rFonts w:ascii="Garamond" w:hAnsi="Garamond" w:cs="Arial"/>
          <w:sz w:val="18"/>
          <w:szCs w:val="18"/>
        </w:rPr>
        <w:t>Persistence rate is the percentage of students who graduated or were still enrolled in school at the end of the school year.</w:t>
      </w:r>
    </w:p>
  </w:footnote>
  <w:footnote w:id="8">
    <w:p w:rsidR="004D16B8" w:rsidRPr="00DD2A79" w:rsidRDefault="004D16B8" w:rsidP="00BE1302">
      <w:pPr>
        <w:autoSpaceDE w:val="0"/>
        <w:autoSpaceDN w:val="0"/>
        <w:adjustRightInd w:val="0"/>
        <w:ind w:left="360"/>
        <w:rPr>
          <w:rFonts w:ascii="Garamond" w:hAnsi="Garamond" w:cs="Arial"/>
          <w:sz w:val="18"/>
          <w:szCs w:val="18"/>
        </w:rPr>
      </w:pPr>
      <w:r w:rsidRPr="00DD2A79">
        <w:rPr>
          <w:rStyle w:val="FootnoteReference"/>
          <w:rFonts w:ascii="Garamond" w:hAnsi="Garamond" w:cs="Arial"/>
          <w:sz w:val="18"/>
          <w:szCs w:val="18"/>
        </w:rPr>
        <w:footnoteRef/>
      </w:r>
      <w:r w:rsidRPr="00DD2A79">
        <w:rPr>
          <w:rFonts w:ascii="Garamond" w:hAnsi="Garamond" w:cs="Arial"/>
          <w:sz w:val="18"/>
          <w:szCs w:val="18"/>
        </w:rPr>
        <w:t xml:space="preserve"> The Beginning Postsecondary Students (BPS) Longitudinal Survey (Berkner, He, &amp; Cataldi, 2002). study conducted by the </w:t>
      </w:r>
      <w:smartTag w:uri="urn:schemas-microsoft-com:office:smarttags" w:element="place">
        <w:smartTag w:uri="urn:schemas-microsoft-com:office:smarttags" w:element="PlaceName">
          <w:r w:rsidRPr="00DD2A79">
            <w:rPr>
              <w:rFonts w:ascii="Garamond" w:hAnsi="Garamond" w:cs="Arial"/>
              <w:sz w:val="18"/>
              <w:szCs w:val="18"/>
            </w:rPr>
            <w:t>National</w:t>
          </w:r>
        </w:smartTag>
        <w:r w:rsidRPr="00DD2A79">
          <w:rPr>
            <w:rFonts w:ascii="Garamond" w:hAnsi="Garamond" w:cs="Arial"/>
            <w:sz w:val="18"/>
            <w:szCs w:val="18"/>
          </w:rPr>
          <w:t xml:space="preserve"> </w:t>
        </w:r>
        <w:smartTag w:uri="urn:schemas-microsoft-com:office:smarttags" w:element="place">
          <w:r w:rsidRPr="00DD2A79">
            <w:rPr>
              <w:rFonts w:ascii="Garamond" w:hAnsi="Garamond" w:cs="Arial"/>
              <w:sz w:val="18"/>
              <w:szCs w:val="18"/>
            </w:rPr>
            <w:t>Center</w:t>
          </w:r>
        </w:smartTag>
      </w:smartTag>
      <w:r w:rsidRPr="00DD2A79">
        <w:rPr>
          <w:rFonts w:ascii="Garamond" w:hAnsi="Garamond" w:cs="Arial"/>
          <w:sz w:val="18"/>
          <w:szCs w:val="18"/>
        </w:rPr>
        <w:t xml:space="preserve"> on Education Statistics followed a representative sample of first-time undergraduates from the time they entered college in the fall of 1995 though the spring of 2001.</w:t>
      </w:r>
    </w:p>
    <w:p w:rsidR="004D16B8" w:rsidRDefault="004D16B8" w:rsidP="00BE1302">
      <w:pPr>
        <w:autoSpaceDE w:val="0"/>
        <w:autoSpaceDN w:val="0"/>
        <w:adjustRightInd w:val="0"/>
        <w:ind w:left="36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B8" w:rsidRDefault="004D16B8" w:rsidP="00433FC8">
    <w:pPr>
      <w:pStyle w:val="Header"/>
      <w:ind w:lef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F1F21"/>
    <w:rsid w:val="00026660"/>
    <w:rsid w:val="00057862"/>
    <w:rsid w:val="000611BA"/>
    <w:rsid w:val="0008062F"/>
    <w:rsid w:val="00083EFD"/>
    <w:rsid w:val="000944DC"/>
    <w:rsid w:val="000B440B"/>
    <w:rsid w:val="000B4917"/>
    <w:rsid w:val="000E5F2B"/>
    <w:rsid w:val="000F1F21"/>
    <w:rsid w:val="001323BF"/>
    <w:rsid w:val="00154367"/>
    <w:rsid w:val="001550BD"/>
    <w:rsid w:val="001662F0"/>
    <w:rsid w:val="001C709C"/>
    <w:rsid w:val="001F0A74"/>
    <w:rsid w:val="001F0FAA"/>
    <w:rsid w:val="00205898"/>
    <w:rsid w:val="002116FA"/>
    <w:rsid w:val="002364BD"/>
    <w:rsid w:val="0024008B"/>
    <w:rsid w:val="002414C7"/>
    <w:rsid w:val="002551E7"/>
    <w:rsid w:val="002601B8"/>
    <w:rsid w:val="002773D8"/>
    <w:rsid w:val="00285066"/>
    <w:rsid w:val="002958D7"/>
    <w:rsid w:val="002A04F1"/>
    <w:rsid w:val="002A74BC"/>
    <w:rsid w:val="002A78A5"/>
    <w:rsid w:val="002B56D8"/>
    <w:rsid w:val="002E0972"/>
    <w:rsid w:val="002F26A2"/>
    <w:rsid w:val="002F35FA"/>
    <w:rsid w:val="00327294"/>
    <w:rsid w:val="00336782"/>
    <w:rsid w:val="003630CE"/>
    <w:rsid w:val="00370827"/>
    <w:rsid w:val="003D7409"/>
    <w:rsid w:val="003E78E9"/>
    <w:rsid w:val="003F71E3"/>
    <w:rsid w:val="003F7515"/>
    <w:rsid w:val="00422462"/>
    <w:rsid w:val="00433FC8"/>
    <w:rsid w:val="004538A7"/>
    <w:rsid w:val="00462897"/>
    <w:rsid w:val="00470691"/>
    <w:rsid w:val="0048435D"/>
    <w:rsid w:val="004A606C"/>
    <w:rsid w:val="004C3338"/>
    <w:rsid w:val="004D16B8"/>
    <w:rsid w:val="004E31F0"/>
    <w:rsid w:val="004F5FE6"/>
    <w:rsid w:val="00513CAF"/>
    <w:rsid w:val="00514CB2"/>
    <w:rsid w:val="005174A8"/>
    <w:rsid w:val="00530896"/>
    <w:rsid w:val="00552B77"/>
    <w:rsid w:val="00557F8B"/>
    <w:rsid w:val="005B43CD"/>
    <w:rsid w:val="005D02A2"/>
    <w:rsid w:val="005D31B0"/>
    <w:rsid w:val="005F26C8"/>
    <w:rsid w:val="0061568D"/>
    <w:rsid w:val="00646266"/>
    <w:rsid w:val="00675453"/>
    <w:rsid w:val="00696B9E"/>
    <w:rsid w:val="006B4CCA"/>
    <w:rsid w:val="006C0F69"/>
    <w:rsid w:val="007039E6"/>
    <w:rsid w:val="00711CF1"/>
    <w:rsid w:val="00736865"/>
    <w:rsid w:val="007469ED"/>
    <w:rsid w:val="00750521"/>
    <w:rsid w:val="0076621C"/>
    <w:rsid w:val="007729E4"/>
    <w:rsid w:val="007A2AB9"/>
    <w:rsid w:val="007B0AA8"/>
    <w:rsid w:val="00805B38"/>
    <w:rsid w:val="00806EDD"/>
    <w:rsid w:val="00812659"/>
    <w:rsid w:val="00837B13"/>
    <w:rsid w:val="00852352"/>
    <w:rsid w:val="00852821"/>
    <w:rsid w:val="00863BA5"/>
    <w:rsid w:val="00886827"/>
    <w:rsid w:val="009206A4"/>
    <w:rsid w:val="00921633"/>
    <w:rsid w:val="00931CE0"/>
    <w:rsid w:val="0093388B"/>
    <w:rsid w:val="00935CFA"/>
    <w:rsid w:val="009424DA"/>
    <w:rsid w:val="009567C3"/>
    <w:rsid w:val="009667B8"/>
    <w:rsid w:val="00977190"/>
    <w:rsid w:val="00992125"/>
    <w:rsid w:val="0099551A"/>
    <w:rsid w:val="009960C0"/>
    <w:rsid w:val="009C1564"/>
    <w:rsid w:val="009E7B44"/>
    <w:rsid w:val="00A149DE"/>
    <w:rsid w:val="00A43DB8"/>
    <w:rsid w:val="00A71F58"/>
    <w:rsid w:val="00A86E7F"/>
    <w:rsid w:val="00A91E50"/>
    <w:rsid w:val="00AA2BC1"/>
    <w:rsid w:val="00AB685F"/>
    <w:rsid w:val="00AB7294"/>
    <w:rsid w:val="00AF774D"/>
    <w:rsid w:val="00B24EDB"/>
    <w:rsid w:val="00B32124"/>
    <w:rsid w:val="00B4633A"/>
    <w:rsid w:val="00B669D5"/>
    <w:rsid w:val="00B82C25"/>
    <w:rsid w:val="00BA47A3"/>
    <w:rsid w:val="00BA6F42"/>
    <w:rsid w:val="00BD4031"/>
    <w:rsid w:val="00BD5A8D"/>
    <w:rsid w:val="00BE120C"/>
    <w:rsid w:val="00BE1302"/>
    <w:rsid w:val="00BE3982"/>
    <w:rsid w:val="00BE54DF"/>
    <w:rsid w:val="00BE5E4D"/>
    <w:rsid w:val="00C13422"/>
    <w:rsid w:val="00C13AA3"/>
    <w:rsid w:val="00C506F3"/>
    <w:rsid w:val="00C979C8"/>
    <w:rsid w:val="00CC4E0E"/>
    <w:rsid w:val="00CE71DF"/>
    <w:rsid w:val="00D03089"/>
    <w:rsid w:val="00D07FB7"/>
    <w:rsid w:val="00D22B7E"/>
    <w:rsid w:val="00D347C9"/>
    <w:rsid w:val="00D56D64"/>
    <w:rsid w:val="00D65737"/>
    <w:rsid w:val="00D772CE"/>
    <w:rsid w:val="00DB7CFF"/>
    <w:rsid w:val="00DD2A79"/>
    <w:rsid w:val="00DD3E43"/>
    <w:rsid w:val="00DD761D"/>
    <w:rsid w:val="00E04987"/>
    <w:rsid w:val="00E23330"/>
    <w:rsid w:val="00E7512F"/>
    <w:rsid w:val="00E81B93"/>
    <w:rsid w:val="00EC2067"/>
    <w:rsid w:val="00ED12B6"/>
    <w:rsid w:val="00EE0C57"/>
    <w:rsid w:val="00EF4BF1"/>
    <w:rsid w:val="00F015F4"/>
    <w:rsid w:val="00F23C3F"/>
    <w:rsid w:val="00F2637D"/>
    <w:rsid w:val="00F27F39"/>
    <w:rsid w:val="00F43D0B"/>
    <w:rsid w:val="00FB5345"/>
    <w:rsid w:val="00FE2DF7"/>
    <w:rsid w:val="00FF7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58"/>
    <w:rPr>
      <w:sz w:val="24"/>
      <w:szCs w:val="24"/>
    </w:rPr>
  </w:style>
  <w:style w:type="paragraph" w:styleId="Heading1">
    <w:name w:val="heading 1"/>
    <w:basedOn w:val="Normal"/>
    <w:next w:val="Normal"/>
    <w:link w:val="Heading1Char"/>
    <w:uiPriority w:val="99"/>
    <w:qFormat/>
    <w:rsid w:val="000F1F21"/>
    <w:pPr>
      <w:keepNext/>
      <w:keepLines/>
      <w:spacing w:before="480" w:line="360"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91E50"/>
    <w:pPr>
      <w:keepNext/>
      <w:keepLines/>
      <w:spacing w:before="200" w:line="360"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1F21"/>
    <w:rPr>
      <w:rFonts w:ascii="Cambria" w:hAnsi="Cambria" w:cs="Times New Roman"/>
      <w:b/>
      <w:bCs/>
      <w:color w:val="365F91"/>
      <w:sz w:val="28"/>
      <w:szCs w:val="28"/>
      <w:lang w:val="en-US" w:eastAsia="en-US" w:bidi="ar-SA"/>
    </w:rPr>
  </w:style>
  <w:style w:type="character" w:customStyle="1" w:styleId="Heading2Char">
    <w:name w:val="Heading 2 Char"/>
    <w:basedOn w:val="DefaultParagraphFont"/>
    <w:link w:val="Heading2"/>
    <w:uiPriority w:val="99"/>
    <w:locked/>
    <w:rsid w:val="00A91E50"/>
    <w:rPr>
      <w:rFonts w:ascii="Cambria" w:hAnsi="Cambria" w:cs="Times New Roman"/>
      <w:b/>
      <w:bCs/>
      <w:color w:val="4F81BD"/>
      <w:sz w:val="26"/>
      <w:szCs w:val="26"/>
    </w:rPr>
  </w:style>
  <w:style w:type="paragraph" w:styleId="BalloonText">
    <w:name w:val="Balloon Text"/>
    <w:basedOn w:val="Normal"/>
    <w:link w:val="BalloonTextChar"/>
    <w:uiPriority w:val="99"/>
    <w:semiHidden/>
    <w:rsid w:val="00BA47A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3AA3"/>
    <w:rPr>
      <w:rFonts w:cs="Times New Roman"/>
      <w:sz w:val="2"/>
    </w:rPr>
  </w:style>
  <w:style w:type="paragraph" w:styleId="NoSpacing">
    <w:name w:val="No Spacing"/>
    <w:uiPriority w:val="99"/>
    <w:qFormat/>
    <w:rsid w:val="000F1F21"/>
    <w:rPr>
      <w:rFonts w:ascii="Cambria" w:hAnsi="Cambria"/>
      <w:sz w:val="24"/>
    </w:rPr>
  </w:style>
  <w:style w:type="paragraph" w:styleId="FootnoteText">
    <w:name w:val="footnote text"/>
    <w:basedOn w:val="Normal"/>
    <w:link w:val="FootnoteTextChar"/>
    <w:uiPriority w:val="99"/>
    <w:semiHidden/>
    <w:rsid w:val="00BA47A3"/>
    <w:rPr>
      <w:rFonts w:ascii="Cambria" w:hAnsi="Cambria"/>
      <w:sz w:val="20"/>
      <w:szCs w:val="20"/>
    </w:rPr>
  </w:style>
  <w:style w:type="character" w:customStyle="1" w:styleId="FootnoteTextChar">
    <w:name w:val="Footnote Text Char"/>
    <w:basedOn w:val="DefaultParagraphFont"/>
    <w:link w:val="FootnoteText"/>
    <w:uiPriority w:val="99"/>
    <w:semiHidden/>
    <w:locked/>
    <w:rsid w:val="00BA47A3"/>
    <w:rPr>
      <w:rFonts w:ascii="Cambria" w:hAnsi="Cambria" w:cs="Times New Roman"/>
      <w:lang w:val="en-US" w:eastAsia="en-US" w:bidi="ar-SA"/>
    </w:rPr>
  </w:style>
  <w:style w:type="character" w:styleId="FootnoteReference">
    <w:name w:val="footnote reference"/>
    <w:basedOn w:val="DefaultParagraphFont"/>
    <w:uiPriority w:val="99"/>
    <w:semiHidden/>
    <w:rsid w:val="00BA47A3"/>
    <w:rPr>
      <w:rFonts w:cs="Times New Roman"/>
      <w:vertAlign w:val="superscript"/>
    </w:rPr>
  </w:style>
  <w:style w:type="character" w:styleId="CommentReference">
    <w:name w:val="annotation reference"/>
    <w:basedOn w:val="DefaultParagraphFont"/>
    <w:uiPriority w:val="99"/>
    <w:semiHidden/>
    <w:rsid w:val="00BA47A3"/>
    <w:rPr>
      <w:rFonts w:cs="Times New Roman"/>
      <w:sz w:val="16"/>
      <w:szCs w:val="16"/>
    </w:rPr>
  </w:style>
  <w:style w:type="paragraph" w:styleId="CommentText">
    <w:name w:val="annotation text"/>
    <w:basedOn w:val="Normal"/>
    <w:link w:val="CommentTextChar"/>
    <w:uiPriority w:val="99"/>
    <w:semiHidden/>
    <w:rsid w:val="00BA47A3"/>
    <w:pPr>
      <w:spacing w:after="80"/>
    </w:pPr>
    <w:rPr>
      <w:rFonts w:ascii="Cambria" w:hAnsi="Cambria"/>
      <w:sz w:val="20"/>
      <w:szCs w:val="20"/>
    </w:rPr>
  </w:style>
  <w:style w:type="character" w:customStyle="1" w:styleId="CommentTextChar">
    <w:name w:val="Comment Text Char"/>
    <w:basedOn w:val="DefaultParagraphFont"/>
    <w:link w:val="CommentText"/>
    <w:uiPriority w:val="99"/>
    <w:semiHidden/>
    <w:locked/>
    <w:rsid w:val="00BA47A3"/>
    <w:rPr>
      <w:rFonts w:ascii="Cambria" w:hAnsi="Cambria" w:cs="Times New Roman"/>
      <w:lang w:val="en-US" w:eastAsia="en-US" w:bidi="ar-SA"/>
    </w:rPr>
  </w:style>
  <w:style w:type="character" w:styleId="Hyperlink">
    <w:name w:val="Hyperlink"/>
    <w:basedOn w:val="DefaultParagraphFont"/>
    <w:uiPriority w:val="99"/>
    <w:rsid w:val="005F26C8"/>
    <w:rPr>
      <w:rFonts w:cs="Times New Roman"/>
      <w:color w:val="0000FF"/>
      <w:u w:val="single"/>
    </w:rPr>
  </w:style>
  <w:style w:type="paragraph" w:customStyle="1" w:styleId="Default">
    <w:name w:val="Default"/>
    <w:uiPriority w:val="99"/>
    <w:rsid w:val="004E31F0"/>
    <w:pPr>
      <w:autoSpaceDE w:val="0"/>
      <w:autoSpaceDN w:val="0"/>
      <w:adjustRightInd w:val="0"/>
    </w:pPr>
    <w:rPr>
      <w:rFonts w:ascii="Verdana" w:hAnsi="Verdana" w:cs="Verdana"/>
      <w:color w:val="000000"/>
      <w:sz w:val="24"/>
      <w:szCs w:val="24"/>
    </w:rPr>
  </w:style>
  <w:style w:type="paragraph" w:styleId="CommentSubject">
    <w:name w:val="annotation subject"/>
    <w:basedOn w:val="CommentText"/>
    <w:next w:val="CommentText"/>
    <w:link w:val="CommentSubjectChar"/>
    <w:uiPriority w:val="99"/>
    <w:rsid w:val="00FF7EF2"/>
    <w:pPr>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FF7EF2"/>
    <w:rPr>
      <w:b/>
      <w:bCs/>
    </w:rPr>
  </w:style>
  <w:style w:type="paragraph" w:styleId="Header">
    <w:name w:val="header"/>
    <w:basedOn w:val="Normal"/>
    <w:link w:val="HeaderChar"/>
    <w:uiPriority w:val="99"/>
    <w:rsid w:val="0024008B"/>
    <w:pPr>
      <w:tabs>
        <w:tab w:val="center" w:pos="4320"/>
        <w:tab w:val="right" w:pos="8640"/>
      </w:tabs>
    </w:pPr>
  </w:style>
  <w:style w:type="character" w:customStyle="1" w:styleId="HeaderChar">
    <w:name w:val="Header Char"/>
    <w:basedOn w:val="DefaultParagraphFont"/>
    <w:link w:val="Header"/>
    <w:uiPriority w:val="99"/>
    <w:semiHidden/>
    <w:locked/>
    <w:rsid w:val="00D03089"/>
    <w:rPr>
      <w:rFonts w:cs="Times New Roman"/>
      <w:sz w:val="24"/>
      <w:szCs w:val="24"/>
    </w:rPr>
  </w:style>
  <w:style w:type="paragraph" w:styleId="Footer">
    <w:name w:val="footer"/>
    <w:basedOn w:val="Normal"/>
    <w:link w:val="FooterChar"/>
    <w:uiPriority w:val="99"/>
    <w:rsid w:val="0024008B"/>
    <w:pPr>
      <w:tabs>
        <w:tab w:val="center" w:pos="4320"/>
        <w:tab w:val="right" w:pos="8640"/>
      </w:tabs>
    </w:pPr>
  </w:style>
  <w:style w:type="character" w:customStyle="1" w:styleId="FooterChar">
    <w:name w:val="Footer Char"/>
    <w:basedOn w:val="DefaultParagraphFont"/>
    <w:link w:val="Footer"/>
    <w:uiPriority w:val="99"/>
    <w:semiHidden/>
    <w:locked/>
    <w:rsid w:val="00D03089"/>
    <w:rPr>
      <w:rFonts w:cs="Times New Roman"/>
      <w:sz w:val="24"/>
      <w:szCs w:val="24"/>
    </w:rPr>
  </w:style>
  <w:style w:type="paragraph" w:styleId="DocumentMap">
    <w:name w:val="Document Map"/>
    <w:basedOn w:val="Normal"/>
    <w:link w:val="DocumentMapChar"/>
    <w:uiPriority w:val="99"/>
    <w:semiHidden/>
    <w:rsid w:val="00433FC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B7CFF"/>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www.cacollegepathways.org." TargetMode="Externa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r.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3BAC6F733D74FA74848B61C7CC970" ma:contentTypeVersion="58" ma:contentTypeDescription="Create a new document." ma:contentTypeScope="" ma:versionID="52b2da4e69538aa8873855d623d342a2">
  <xsd:schema xmlns:xsd="http://www.w3.org/2001/XMLSchema" xmlns:p="http://schemas.microsoft.com/office/2006/metadata/properties" xmlns:ns1="http://schemas.microsoft.com/sharepoint/v3" xmlns:ns2="fc63d867-8632-4850-bed0-bcaee44fb5e7" targetNamespace="http://schemas.microsoft.com/office/2006/metadata/properties" ma:root="true" ma:fieldsID="3b82a5d7f12c283ba0cb263919af1bb8" ns1:_="" ns2:_="">
    <xsd:import namespace="http://schemas.microsoft.com/sharepoint/v3"/>
    <xsd:import namespace="fc63d867-8632-4850-bed0-bcaee44fb5e7"/>
    <xsd:element name="properties">
      <xsd:complexType>
        <xsd:sequence>
          <xsd:element name="documentManagement">
            <xsd:complexType>
              <xsd:all>
                <xsd:element ref="ns2:Description1" minOccurs="0"/>
                <xsd:element ref="ns2:Goal_x0020_ID" minOccurs="0"/>
                <xsd:element ref="ns2:BlueprintforchangeStates" minOccurs="0"/>
                <xsd:element ref="ns2:Published_x0020_Period" minOccurs="0"/>
                <xsd:element ref="ns2:Format" minOccurs="0"/>
                <xsd:element ref="ns2:Date_x0020_Created" minOccurs="0"/>
                <xsd:element ref="ns2:G1_x002d_Benchmark" minOccurs="0"/>
                <xsd:element ref="ns2:G2_x002d_Benchmark" minOccurs="0"/>
                <xsd:element ref="ns2:G3_x002d_Benchmark" minOccurs="0"/>
                <xsd:element ref="ns2:G4_x002d_Benchmark" minOccurs="0"/>
                <xsd:element ref="ns2:G5_x002d_Benchmark" minOccurs="0"/>
                <xsd:element ref="ns2:G6_x002d_Benchmark" minOccurs="0"/>
                <xsd:element ref="ns2:G7_x002d_Benchmark" minOccurs="0"/>
                <xsd:element ref="ns2:G8_x002d_Benchmark" minOccurs="0"/>
                <xsd:element ref="ns1:PublishingStartDate" minOccurs="0"/>
                <xsd:element ref="ns1:PublishingExpirationDate" minOccurs="0"/>
                <xsd:element ref="ns1:Related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hidden="true" ma:internalName="PublishingStartDate">
      <xsd:simpleType>
        <xsd:restriction base="dms:Unknown"/>
      </xsd:simpleType>
    </xsd:element>
    <xsd:element name="PublishingExpirationDate" ma:index="18" nillable="true" ma:displayName="Scheduling End Date" ma:description="" ma:hidden="true" ma:internalName="PublishingExpirationDate">
      <xsd:simpleType>
        <xsd:restriction base="dms:Unknown"/>
      </xsd:simpleType>
    </xsd:element>
    <xsd:element name="RelatedIssues" ma:index="23" nillable="true" ma:displayName="Related Issues" ma:hidden="true" ma:list="Self" ma:internalName="RelatedIssue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fc63d867-8632-4850-bed0-bcaee44fb5e7" elementFormDefault="qualified">
    <xsd:import namespace="http://schemas.microsoft.com/office/2006/documentManagement/types"/>
    <xsd:element name="Description1" ma:index="2" nillable="true" ma:displayName="Description" ma:internalName="Description1">
      <xsd:simpleType>
        <xsd:restriction base="dms:Note"/>
      </xsd:simpleType>
    </xsd:element>
    <xsd:element name="Goal_x0020_ID" ma:index="3" nillable="true" ma:displayName="Goal ID" ma:default="Goal One" ma:internalName="Goal_x0020_ID">
      <xsd:complexType>
        <xsd:complexContent>
          <xsd:extension base="dms:MultiChoice">
            <xsd:sequence>
              <xsd:element name="Value" maxOccurs="unbounded" minOccurs="0" nillable="true">
                <xsd:simpleType>
                  <xsd:restriction base="dms:Choice">
                    <xsd:enumeration value="Goal One"/>
                    <xsd:enumeration value="Goal Two"/>
                    <xsd:enumeration value="Goal Three"/>
                    <xsd:enumeration value="Goal Four"/>
                    <xsd:enumeration value="Goal Five"/>
                    <xsd:enumeration value="Goal Six"/>
                    <xsd:enumeration value="Goal Seven"/>
                    <xsd:enumeration value="Goal Eight"/>
                    <xsd:enumeration value="All Goals"/>
                  </xsd:restriction>
                </xsd:simpleType>
              </xsd:element>
            </xsd:sequence>
          </xsd:extension>
        </xsd:complexContent>
      </xsd:complexType>
    </xsd:element>
    <xsd:element name="BlueprintforchangeStates" ma:index="4" nillable="true" ma:displayName="States" ma:format="Dropdown" ma:internalName="BlueprintforchangeStates">
      <xsd:simpleType>
        <xsd:restriction base="dms:Choice">
          <xsd:enumeration value="National"/>
          <xsd:enumeration value="AL"/>
          <xsd:enumeration value="AK"/>
          <xsd:enumeration value="AZ"/>
          <xsd:enumeration value="AR"/>
          <xsd:enumeration value="CA"/>
          <xsd:enumeration value="CO"/>
          <xsd:enumeration value="CT"/>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element name="Published_x0020_Period" ma:index="5" nillable="true" ma:displayName="Published Period" ma:format="Dropdown" ma:internalName="Published_x0020_Period">
      <xsd:simpleType>
        <xsd:restriction base="dms:Choice">
          <xsd:enumeration value="2011 4th Quarter"/>
          <xsd:enumeration value="2011 3rd Quarter"/>
          <xsd:enumeration value="2011 2nd Quarter"/>
          <xsd:enumeration value="2011 1st Quarter"/>
          <xsd:enumeration value="2010 4th Quarter"/>
          <xsd:enumeration value="2010 3rd Quarter"/>
          <xsd:enumeration value="2010 2nd Quarter"/>
          <xsd:enumeration value="2010 1st Quarter"/>
          <xsd:enumeration value="2009 4th Quarter"/>
          <xsd:enumeration value="2009 3rd Quarter"/>
          <xsd:enumeration value="2009 2nd Quarter"/>
          <xsd:enumeration value="2009 1st Quarter"/>
          <xsd:enumeration value="2008 4th Quarter"/>
          <xsd:enumeration value="2008 3rd Quarter"/>
          <xsd:enumeration value="2008 2nd Quarter"/>
          <xsd:enumeration value="2008 1st Quarter"/>
          <xsd:enumeration value="2007 4th Quarter"/>
          <xsd:enumeration value="2007 3rd Quarter"/>
          <xsd:enumeration value="2007 2nd Quarter"/>
          <xsd:enumeration value="2007 1st Quarter"/>
          <xsd:enumeration value="2006 4th Quarter"/>
          <xsd:enumeration value="2006 3rd Quarter"/>
          <xsd:enumeration value="2006 2nd Quarter"/>
          <xsd:enumeration value="2006 1st Quarter"/>
          <xsd:enumeration value="2005 4th Quarter"/>
          <xsd:enumeration value="2005 3rd Quarter"/>
          <xsd:enumeration value="2005 2nd Quarter"/>
          <xsd:enumeration value="2005 1st Quarter"/>
          <xsd:enumeration value="2004 4th Quarter"/>
          <xsd:enumeration value="2004 3rd Quarter"/>
          <xsd:enumeration value="2004 2nd Quarter"/>
          <xsd:enumeration value="2004 1st Quarter"/>
          <xsd:enumeration value="2003 4th Quarter"/>
          <xsd:enumeration value="2003 3rd Quarter"/>
          <xsd:enumeration value="2003 2nd Quarter"/>
          <xsd:enumeration value="2003 1st Quarter"/>
          <xsd:enumeration value="2002 4th Quarter"/>
          <xsd:enumeration value="2002 3rd Quarter"/>
          <xsd:enumeration value="2002 2nd Quarter"/>
          <xsd:enumeration value="2002 1st Quarter"/>
          <xsd:enumeration value="2001 4th Quarter"/>
          <xsd:enumeration value="2001 3rd Quarter"/>
          <xsd:enumeration value="2001 2nd Quarter"/>
          <xsd:enumeration value="2001 1st Quarter"/>
          <xsd:enumeration value="2000 4th Quarter"/>
          <xsd:enumeration value="2000 3rd Quarter"/>
          <xsd:enumeration value="2000 2nd Quarter"/>
          <xsd:enumeration value="2000 1st Quarter"/>
          <xsd:enumeration value="1999 4th Quarter"/>
          <xsd:enumeration value="1999 3rd Quarter"/>
          <xsd:enumeration value="1999 2nd Quarter"/>
          <xsd:enumeration value="1999 1st Quarter"/>
          <xsd:enumeration value="1998 4th Quarter"/>
          <xsd:enumeration value="1998 3rd Quarter"/>
          <xsd:enumeration value="1998 2nd Quarter"/>
          <xsd:enumeration value="1998 1st Quarter"/>
          <xsd:enumeration value="1997 4th Quarter"/>
          <xsd:enumeration value="1997 3rd Quarter"/>
          <xsd:enumeration value="1997 2nd Quarter"/>
          <xsd:enumeration value="1997 1st Quarter"/>
          <xsd:enumeration value="1996 4th Quarter"/>
          <xsd:enumeration value="1996 3rd Quarter"/>
          <xsd:enumeration value="1996 2nd Quarter"/>
          <xsd:enumeration value="1996 1st Quarter"/>
          <xsd:enumeration value="1995 4th Quarter"/>
          <xsd:enumeration value="1995 3rd Quarter"/>
          <xsd:enumeration value="1995 2nd Quarter"/>
          <xsd:enumeration value="1995 1st Quarter"/>
          <xsd:enumeration value="1994 4th Quarter"/>
          <xsd:enumeration value="1994 3rd Quarter"/>
          <xsd:enumeration value="1994 2nd Quarter"/>
          <xsd:enumeration value="1994 1st Quarter"/>
        </xsd:restriction>
      </xsd:simpleType>
    </xsd:element>
    <xsd:element name="Format" ma:index="6" nillable="true" ma:displayName="Format" ma:default="None" ma:format="Dropdown" ma:internalName="Format">
      <xsd:simpleType>
        <xsd:restriction base="dms:Choice">
          <xsd:enumeration value="None"/>
          <xsd:enumeration value="Legislation or Regulations"/>
          <xsd:enumeration value="Legal Center for Foster Care and Education"/>
          <xsd:enumeration value="Studies"/>
          <xsd:enumeration value="Curriculums"/>
        </xsd:restriction>
      </xsd:simpleType>
    </xsd:element>
    <xsd:element name="Date_x0020_Created" ma:index="7" nillable="true" ma:displayName="Date Created" ma:format="DateOnly" ma:internalName="Date_x0020_Created">
      <xsd:simpleType>
        <xsd:restriction base="dms:DateTime"/>
      </xsd:simpleType>
    </xsd:element>
    <xsd:element name="G1_x002d_Benchmark" ma:index="8" nillable="true" ma:displayName="G1-Benchmark" ma:description="1-A: Youth's foster care placement decisions take school stability into accounts, and school stability is a priority whenever possible and in the child's best interests.&#10;&#10;1-B: Youth have sufficient foster home and permanent living options available in their home communities to reduce the need for school moves.&#10;&#10;1-C: When in their best interests, youth have a legal right to remain in the same school (school of origin) even when they move outside the school district, and schools that retain children are not financially penalized.&#10;&#10;1-D: Youth are entitled to necessary transportation to their school of origin, with responsibilities clearly designated for transportation costs.&#10;&#10;1-E: Youth have necessary support and information to make school of origin decisions; youth, birth parents, case workers, foster parents, courts, attorneys, schools, and educators are trained about legal entitlements and appeal and dispute procedures.&#10;&#10;1-F: Youth with disabilities continue in an appropriate education setting, regardless of changes in foster care placements, and transportation is provided in accordance with the youth's Individualized Education Program (IEP).&#10;" ma:internalName="G1_x002d_Benchmark">
      <xsd:complexType>
        <xsd:complexContent>
          <xsd:extension base="dms:MultiChoice">
            <xsd:sequence>
              <xsd:element name="Value" maxOccurs="unbounded" minOccurs="0" nillable="true">
                <xsd:simpleType>
                  <xsd:restriction base="dms:Choice">
                    <xsd:enumeration value="1A"/>
                    <xsd:enumeration value="1B"/>
                    <xsd:enumeration value="1C"/>
                    <xsd:enumeration value="1D"/>
                    <xsd:enumeration value="1E"/>
                    <xsd:enumeration value="1F"/>
                  </xsd:restriction>
                </xsd:simpleType>
              </xsd:element>
            </xsd:sequence>
          </xsd:extension>
        </xsd:complexContent>
      </xsd:complexType>
    </xsd:element>
    <xsd:element name="G2_x002d_Benchmark" ma:index="9" nillable="true" ma:displayName="G2-Benchmark" ma:description="2-A: Youth have a right to be enrolled immediately in a new school and to begin classes promptly.&#10;&#10;2-B: Youth can be enrolled in school by any person who has care or control of the child (i.e., caseworker or foster parent).&#10;&#10;2-B: Youth can be enrolled in school by any person who has care or control of the child (i.e., caseworker or foster parent).&#10;&#10;2-C: Youth enrollment and delivery of appropriate services are not delayed due to school or record requirements (i.e., immunization records, birth certificates, school uniforms); designated child welfare, education, and court staff facilitate and coordinate transitions and receive training on special procedures.&#10;&#10;2-D: Youth education records are comprehensive and accurate, and promptly follow youth to any new school or placement; records are kept private and shared only with necessary individuals working with the youth. &#10;&#10;2-E: Youth who arrive in a new school during the school term are allowed to participate in all academic and extracurricular programs even if normal timelines have run or programs are full.&#10;&#10;2-F: Youth receive credit and partial credit for coursework completed at the prior school.&#10;&#10;2-G: Youth have the ability to receive a high school diploma even when they have attended multiple schools with varying graduation requirements.&#10;&#10;2-H: Eligible youth with disabilities receive the protections outlined in federal and state law, including timelines for evaluations, implementation of an IEP or an Individual Family Service Plan (IFSP), and placement in the least restrictive environment, even when they change school districts.&#10;" ma:internalName="G2_x002d_Benchmark">
      <xsd:complexType>
        <xsd:complexContent>
          <xsd:extension base="dms:MultiChoice">
            <xsd:sequence>
              <xsd:element name="Value" maxOccurs="unbounded" minOccurs="0" nillable="true">
                <xsd:simpleType>
                  <xsd:restriction base="dms:Choice">
                    <xsd:enumeration value="2A"/>
                    <xsd:enumeration value="2B"/>
                    <xsd:enumeration value="2C"/>
                    <xsd:enumeration value="2D"/>
                    <xsd:enumeration value="2E"/>
                    <xsd:enumeration value="2F"/>
                    <xsd:enumeration value="2G"/>
                    <xsd:enumeration value="2H"/>
                  </xsd:restriction>
                </xsd:simpleType>
              </xsd:element>
            </xsd:sequence>
          </xsd:extension>
        </xsd:complexContent>
      </xsd:complexType>
    </xsd:element>
    <xsd:element name="G3_x002d_Benchmark" ma:index="10" nillable="true" ma:displayName="G3-Benchmark" ma:description="3-A: Young children have all the appropriate health interventions necessary, including enrollment in the Medical Assistance Early Periodic Screening, Diagnosis, and Treatment (EPSDT) Program, and receive comprehensive evaluations and treatment.&#10;&#10;3-B: Young children are given special prioritization and treatment in early childhood programs (including Head Start, Early Headstart, and preschool programs).&#10;&#10;3-C: Young children receive developmentally appropriate counseling and supports in their early childhood programs with sensitivity to their abuse and neglect experiences.&#10;&#10;3-D: Young children have caretakers who have been provided information on the children's medical and developmental needs, and who have received training and support to be effective advocates.&#10;&#10;3-E: Children under age three with developmental delays, or a high probability of developing such delays, are identified as early as possible, promptly referred for evaluation for early intervention services, and promptly evaluated and served.&#10;&#10;3-F: Young children at high risk of developmental delays are screened appropriately and qualify for early intervention services whenever possible.&#10;&#10;3-G: Children under age three who have been involved in a substantiated case of child abuse and neglect, who have been identified as affected by substance abuse or withdrawal symptoms resulting from prenatal drug exposure, or withdrawal symptoms resulting from prenatal drug exposure, or who have experienced a substantiated case of trauma due to exposure to family violence are referred to the early intervention system for screening.&#10;&#10;3-H: Children with disabilities ages three to school age are referred and evaluated, and receive appropriate preschool early intervention programs.&#10;" ma:internalName="G3_x002d_Benchmark">
      <xsd:complexType>
        <xsd:complexContent>
          <xsd:extension base="dms:MultiChoice">
            <xsd:sequence>
              <xsd:element name="Value" maxOccurs="unbounded" minOccurs="0" nillable="true">
                <xsd:simpleType>
                  <xsd:restriction base="dms:Choice">
                    <xsd:enumeration value="3A"/>
                    <xsd:enumeration value="3B"/>
                    <xsd:enumeration value="3C"/>
                    <xsd:enumeration value="3D"/>
                    <xsd:enumeration value="3E"/>
                    <xsd:enumeration value="3F"/>
                    <xsd:enumeration value="3G"/>
                    <xsd:enumeration value="3H"/>
                  </xsd:restriction>
                </xsd:simpleType>
              </xsd:element>
            </xsd:sequence>
          </xsd:extension>
        </xsd:complexContent>
      </xsd:complexType>
    </xsd:element>
    <xsd:element name="G4_x002d_Benchmark" ma:index="11" nillable="true" ma:displayName="G4-Benchmark" ma:description="4-A: Youth are entitled and encouraged to participate in all aspects of the school experience, including academic programs, extracurricular activities, and social events, and are not excluded because of being in out-of-home care.&#10;&#10;4-B: Youth receive the additional supports necessary to be included in all aspects of the school experience.&#10;&#10;4-C: Youth's records relating to his or her education and needs are made available to necessary individuals working with the youth, while respecting the youth's privacy.&#10;&#10;4-D: Youth's appointments and court appearances are scheduled to minimize their impact on the child's education, and children are not penalized for school time or work missed because of court or child welfare case-related activities.&#10;&#10;4-E: Youth are not inappropriately placed in nonpublic schools or other alternative school settings, including schools for students with disabilities.&#10;&#10;4-F: Youth receive supports to improve performance on statewide achievement tests and other measures of academic success (such as attendance and graduation).&#10;&#10;4-G: Youth are surrounded by trained professionals that have the knowledge and skills to work with children who have experienced abuse and neglect; school curricula and programs utilize the research on trauma-informed care.&#10;&#10;4-H Youth with disabilities are located, evaluated, and identified as eligible for special services.&#10;&#10;4-I: Youth with disabilities receive the special help they need to learn content appropriate to their grade level or, when that is not possible, the content that is appropriate to their learning level.&#10;&#10;4-J: Youth with disabilities receive their education in regular classrooms (with the necessary supports and accommodations) whenever possible.&#10;" ma:internalName="G4_x002d_Benchmark">
      <xsd:complexType>
        <xsd:complexContent>
          <xsd:extension base="dms:MultiChoice">
            <xsd:sequence>
              <xsd:element name="Value" maxOccurs="unbounded" minOccurs="0" nillable="true">
                <xsd:simpleType>
                  <xsd:restriction base="dms:Choice">
                    <xsd:enumeration value="4A"/>
                    <xsd:enumeration value="4B"/>
                    <xsd:enumeration value="4C"/>
                    <xsd:enumeration value="4D"/>
                    <xsd:enumeration value="4E"/>
                    <xsd:enumeration value="4F"/>
                    <xsd:enumeration value="4G"/>
                    <xsd:enumeration value="4H"/>
                    <xsd:enumeration value="4I"/>
                    <xsd:enumeration value="4J"/>
                  </xsd:restriction>
                </xsd:simpleType>
              </xsd:element>
            </xsd:sequence>
          </xsd:extension>
        </xsd:complexContent>
      </xsd:complexType>
    </xsd:element>
    <xsd:element name="G5_x002d_Benchmark" ma:index="12" nillable="true" ma:displayName="G5-Benchmark" ma:description="5-A: Youth are not disproportionately subjected to school discipline or school exclusion, and are not placed in alternative schools for disruptive students as a means to address truancy or as a disciplinary measure.&#10;&#10;5-B: Youth have access to school counselors and other school staff familiar with the needs of children who have experienced abuse and neglect, and the staff has mastered effective remediation strategies.&#10;&#10;5-C: Youth have advocates at school disciplinary and other proceedings who are trained on procedures related to dropout, truancy, and discipline.&#10;&#10;5-D: Youth at risk of truancy or dropping out have access to programs and supports designed to engage them in school.&#10;&#10;5-E: Youth who have dropped out of school have access to programs and supports designed to reintegrate them into a school or a General Educational Development(GED) program.&#10;&#10;5-F: Youth with disabilities have behavior intervention plans in place to minimize inappropriate school behaviors and to reduce the need for disciplinary action or referral to the police.&#10;&#10;5-G: Youth with disabilities receive the procedural protections outlined in federal law so that they are not punished for behavior that is a symptom of their disability.&#10;" ma:internalName="G5_x002d_Benchmark">
      <xsd:complexType>
        <xsd:complexContent>
          <xsd:extension base="dms:MultiChoice">
            <xsd:sequence>
              <xsd:element name="Value" maxOccurs="unbounded" minOccurs="0" nillable="true">
                <xsd:simpleType>
                  <xsd:restriction base="dms:Choice">
                    <xsd:enumeration value="5A"/>
                    <xsd:enumeration value="5B"/>
                    <xsd:enumeration value="5C"/>
                    <xsd:enumeration value="5D"/>
                    <xsd:enumeration value="5E"/>
                    <xsd:enumeration value="5F"/>
                    <xsd:enumeration value="5G"/>
                  </xsd:restriction>
                </xsd:simpleType>
              </xsd:element>
            </xsd:sequence>
          </xsd:extension>
        </xsd:complexContent>
      </xsd:complexType>
    </xsd:element>
    <xsd:element name="G6_x002d_Benchmark" ma:index="13" nillable="true" ma:displayName="G6-Benchmark" ma:description="6-A: Youth are routinely asked about their educational preferences and needs, including their view on whether to change schools when their living situation changes.&#10;&#10;6-B: Youth receive training about their educational rights commensurate to their age and developmental abilities.&#10;&#10;6-C: Youth are given the opportunity to participate in court proceedings, and their engagement is supported with transportation and accommodations to decrease the impact on school attendance and schoolwork; attorneys, guardians ad litem, CASAs, and judges are trained on involving youth in court, and encourage youth participation.&#10;&#10;6-D: Youth participate in school and child welfare meetings and planning about their education and their future.&#10;&#10;6-E: Youth are surrounded by school and child welfare professionals with appropriate training and strategies to engage youth in education planning.&#10;&#10;6-F: Youth with disabilities actively participate in the special education process, especially in transition panning for post-school education and employment, and are provided with the supports necessary to effectively participate.&#10;" ma:internalName="G6_x002d_Benchmark">
      <xsd:complexType>
        <xsd:complexContent>
          <xsd:extension base="dms:MultiChoice">
            <xsd:sequence>
              <xsd:element name="Value" maxOccurs="unbounded" minOccurs="0" nillable="true">
                <xsd:simpleType>
                  <xsd:restriction base="dms:Choice">
                    <xsd:enumeration value="6A"/>
                    <xsd:enumeration value="6B"/>
                    <xsd:enumeration value="6C"/>
                    <xsd:enumeration value="6D"/>
                    <xsd:enumeration value="6E"/>
                    <xsd:enumeration value="6F"/>
                  </xsd:restriction>
                </xsd:simpleType>
              </xsd:element>
            </xsd:sequence>
          </xsd:extension>
        </xsd:complexContent>
      </xsd:complexType>
    </xsd:element>
    <xsd:element name="G7_x002d_Benchmark" ma:index="14" nillable="true" ma:displayName="G7-Benchmark" ma:description="7-A: Youth are entitled to have acknowledgeable and trained education advocate who reinforces the value of the youth's investment in education and helps the youth plan for post-school training, employment, or college; efforts must be made to recruit appropriate individuals(i.e., foster parents, birth parents, child welfare caseworkers, teachers, and guidance counselors).&#10;&#10;7-B: Youth exiting care (because of age or because their permanency objectives have been reached) have significant connections to at least one adult to help the youth continue education pursuits.&#10;&#10;7-C: Youth have an education decision maker at all times during a shield welfare case, who is trained in the legal requirements relating to education decisions for children with and without disabilities.&#10;&#10;7-D: Youth with disabilities who are eligible for the appointment of a surrogate parent have access to a pool of qualified, independent, and well trained individuals who can serve in that role, and are assigned a surrogate in a timely manner, but no later than 30 days after a determination that a surrogate is needed.&#10;" ma:internalName="G7_x002d_Benchmark">
      <xsd:complexType>
        <xsd:complexContent>
          <xsd:extension base="dms:MultiChoice">
            <xsd:sequence>
              <xsd:element name="Value" maxOccurs="unbounded" minOccurs="0" nillable="true">
                <xsd:simpleType>
                  <xsd:restriction base="dms:Choice">
                    <xsd:enumeration value="7A"/>
                    <xsd:enumeration value="7B"/>
                    <xsd:enumeration value="7C"/>
                    <xsd:enumeration value="7D"/>
                  </xsd:restriction>
                </xsd:simpleType>
              </xsd:element>
            </xsd:sequence>
          </xsd:extension>
        </xsd:complexContent>
      </xsd:complexType>
    </xsd:element>
    <xsd:element name="G8_x002d_Benchmark" ma:index="15" nillable="true" ma:displayName="G8-Benchmark" ma:description="8-A: Youth are exposed to postsecondary education opportunities, and receive academic support to achieve their future education goals.&#10;&#10;8-B: Youth in care and youth who have exited care (because of age or because their permanency objectives have been reached) have financial support or tuition fee waivers to help them afford postsecondary education.&#10;&#10;8-C: Youth have clear information and concrete help with obtaining and completing admission and financial aid documents.&#10;&#10;8-D: Youth have access to housing during postsecondary school vacations or other times when school housing is unavailable.&#10;&#10;8-E: Youth over 18 can remain in care and under the courts' jurisdiction to receive support and protection while pursuing postsecondary education.&#10;&#10;8-F: Youth have access to academic, social, and emotional supports during, and through completion of, their postsecondary education.&#10;&#10;8-G: Youth with disabilities pursuing higher education goals receive the supports to which they are entitled to under federal and state laws.&#10;" ma:internalName="G8_x002d_Benchmark">
      <xsd:complexType>
        <xsd:complexContent>
          <xsd:extension base="dms:MultiChoice">
            <xsd:sequence>
              <xsd:element name="Value" maxOccurs="unbounded" minOccurs="0" nillable="true">
                <xsd:simpleType>
                  <xsd:restriction base="dms:Choice">
                    <xsd:enumeration value="8A"/>
                    <xsd:enumeration value="8B"/>
                    <xsd:enumeration value="8C"/>
                    <xsd:enumeration value="8D"/>
                    <xsd:enumeration value="8E"/>
                    <xsd:enumeration value="8F"/>
                    <xsd:enumeration value="8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1_x002d_Benchmark xmlns="fc63d867-8632-4850-bed0-bcaee44fb5e7"/>
    <G6_x002d_Benchmark xmlns="fc63d867-8632-4850-bed0-bcaee44fb5e7"/>
    <Description1 xmlns="fc63d867-8632-4850-bed0-bcaee44fb5e7">This report, created by researchers at the University of California, Berkley, links data from the California Child Welfare Services/Case Management System (CWS/CMS) with education data.  
The research centered on identifying foster children in the public education system, comparing foster children’s outcomes to those of other students sharing “at risk” characteristics, and tracking the education of foster children who receive targeted services in their postsecondary education efforts.</Description1>
    <G2_x002d_Benchmark xmlns="fc63d867-8632-4850-bed0-bcaee44fb5e7"/>
    <G7_x002d_Benchmark xmlns="fc63d867-8632-4850-bed0-bcaee44fb5e7">
      <Value>7A</Value>
      <Value>7B</Value>
    </G7_x002d_Benchmark>
    <Goal_x0020_ID xmlns="fc63d867-8632-4850-bed0-bcaee44fb5e7">
      <Value>Goal Four</Value>
      <Value>Goal Seven</Value>
      <Value>Goal Eight</Value>
    </Goal_x0020_ID>
    <G3_x002d_Benchmark xmlns="fc63d867-8632-4850-bed0-bcaee44fb5e7"/>
    <G8_x002d_Benchmark xmlns="fc63d867-8632-4850-bed0-bcaee44fb5e7">
      <Value>8A</Value>
    </G8_x002d_Benchmark>
    <Format xmlns="fc63d867-8632-4850-bed0-bcaee44fb5e7">None</Format>
    <G4_x002d_Benchmark xmlns="fc63d867-8632-4850-bed0-bcaee44fb5e7">
      <Value>4F</Value>
    </G4_x002d_Benchmark>
    <PublishingExpirationDate xmlns="http://schemas.microsoft.com/sharepoint/v3" xsi:nil="true"/>
    <BlueprintforchangeStates xmlns="fc63d867-8632-4850-bed0-bcaee44fb5e7">CA</BlueprintforchangeStates>
    <PublishingStartDate xmlns="http://schemas.microsoft.com/sharepoint/v3" xsi:nil="true"/>
    <Date_x0020_Created xmlns="fc63d867-8632-4850-bed0-bcaee44fb5e7" xsi:nil="true"/>
    <G5_x002d_Benchmark xmlns="fc63d867-8632-4850-bed0-bcaee44fb5e7"/>
    <Published_x0020_Period xmlns="fc63d867-8632-4850-bed0-bcaee44fb5e7">2010 3rd Quarter</Published_x0020_Period>
    <RelatedIssues xmlns="http://schemas.microsoft.com/sharepoint/v3"/>
  </documentManagement>
</p:properties>
</file>

<file path=customXml/itemProps1.xml><?xml version="1.0" encoding="utf-8"?>
<ds:datastoreItem xmlns:ds="http://schemas.openxmlformats.org/officeDocument/2006/customXml" ds:itemID="{4FB0E06C-3EF4-4346-96A7-0C8DEDD6E72E}"/>
</file>

<file path=customXml/itemProps2.xml><?xml version="1.0" encoding="utf-8"?>
<ds:datastoreItem xmlns:ds="http://schemas.openxmlformats.org/officeDocument/2006/customXml" ds:itemID="{BA902E05-4FCD-4C86-A8D1-35A5682D01B2}"/>
</file>

<file path=customXml/itemProps3.xml><?xml version="1.0" encoding="utf-8"?>
<ds:datastoreItem xmlns:ds="http://schemas.openxmlformats.org/officeDocument/2006/customXml" ds:itemID="{39E12FEF-26D5-44CE-8F7E-1223770D9CFA}"/>
</file>

<file path=docProps/app.xml><?xml version="1.0" encoding="utf-8"?>
<Properties xmlns="http://schemas.openxmlformats.org/officeDocument/2006/extended-properties" xmlns:vt="http://schemas.openxmlformats.org/officeDocument/2006/docPropsVTypes">
  <Template>Normal</Template>
  <TotalTime>4</TotalTime>
  <Pages>4</Pages>
  <Words>886</Words>
  <Characters>5056</Characters>
  <Application>Microsoft Office Word</Application>
  <DocSecurity>4</DocSecurity>
  <Lines>42</Lines>
  <Paragraphs>11</Paragraphs>
  <ScaleCrop>false</ScaleCrop>
  <Company>UC Berkeley</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Data: California Foster Youth: On the Path to Irresistible Information</dc:title>
  <dc:subject/>
  <dc:creator>CSSR</dc:creator>
  <cp:keywords/>
  <dc:description/>
  <cp:lastModifiedBy> </cp:lastModifiedBy>
  <cp:revision>2</cp:revision>
  <cp:lastPrinted>2010-09-22T00:01:00Z</cp:lastPrinted>
  <dcterms:created xsi:type="dcterms:W3CDTF">2010-09-22T21:46:00Z</dcterms:created>
  <dcterms:modified xsi:type="dcterms:W3CDTF">2010-09-22T21:46:00Z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0x0101004A43BAC6F733D74FA74848B61C7CC970</vt:lpwstr>
  </property>
</Properties>
</file>